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2231" w14:textId="7846D1C3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20/12/2022 - </w:t>
      </w:r>
      <w:r>
        <w:rPr>
          <w:rFonts w:ascii="Arial" w:hAnsi="Arial" w:cs="Arial"/>
        </w:rPr>
        <w:t>pp. 73 a 84</w:t>
      </w:r>
    </w:p>
    <w:p w14:paraId="4FEA0F0A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</w:p>
    <w:p w14:paraId="145DA56B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 xml:space="preserve">EDITAL DE CREDENCIAMENTO SME/COSERV/DIAL – </w:t>
      </w:r>
      <w:proofErr w:type="spellStart"/>
      <w:r w:rsidRPr="00A60CD3">
        <w:rPr>
          <w:rFonts w:ascii="Arial" w:hAnsi="Arial" w:cs="Arial"/>
          <w:b/>
          <w:bCs/>
        </w:rPr>
        <w:t>Numel</w:t>
      </w:r>
      <w:proofErr w:type="spellEnd"/>
      <w:r w:rsidRPr="00A60CD3">
        <w:rPr>
          <w:rFonts w:ascii="Arial" w:hAnsi="Arial" w:cs="Arial"/>
          <w:b/>
          <w:bCs/>
        </w:rPr>
        <w:t xml:space="preserve"> Nº 007/2020</w:t>
      </w:r>
    </w:p>
    <w:p w14:paraId="679FB7D6" w14:textId="614FCD5F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PROCESSO SEI 6016.2020/0104386-5</w:t>
      </w:r>
    </w:p>
    <w:p w14:paraId="4D868E14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</w:p>
    <w:p w14:paraId="755C6EE5" w14:textId="3E056391" w:rsidR="00790EC0" w:rsidRDefault="00790EC0" w:rsidP="00790EC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60CD3">
        <w:rPr>
          <w:rFonts w:ascii="Arial" w:hAnsi="Arial" w:cs="Arial"/>
          <w:b/>
          <w:bCs/>
          <w:i/>
          <w:iCs/>
        </w:rPr>
        <w:t>CREDENCIAMENTO DE PESSOAS JURÍDICAS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60CD3">
        <w:rPr>
          <w:rFonts w:ascii="Arial" w:hAnsi="Arial" w:cs="Arial"/>
          <w:b/>
          <w:bCs/>
          <w:i/>
          <w:iCs/>
        </w:rPr>
        <w:t>PARA FORNECIMENTO DE MATERIAL ESCOLAR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60CD3">
        <w:rPr>
          <w:rFonts w:ascii="Arial" w:hAnsi="Arial" w:cs="Arial"/>
          <w:b/>
          <w:bCs/>
          <w:i/>
          <w:iCs/>
        </w:rPr>
        <w:t>INDIVIDUAL AOS ESTUDANTES MATRICULADOS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60CD3">
        <w:rPr>
          <w:rFonts w:ascii="Arial" w:hAnsi="Arial" w:cs="Arial"/>
          <w:b/>
          <w:bCs/>
          <w:i/>
          <w:iCs/>
        </w:rPr>
        <w:t>NA REDE MUNICIPAL DE ENSINO</w:t>
      </w:r>
    </w:p>
    <w:p w14:paraId="6FC98465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6174571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Torna-se público, para conhecimento dos interessados que a Secretaria Municipal de Educação –</w:t>
      </w:r>
    </w:p>
    <w:p w14:paraId="75D002CC" w14:textId="20E904EA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SME, por intermédio da COSERV/DIAL – Núcleo de Uniforme, Material Escolar e Logística,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receberá, por meio eletrônico, no link</w:t>
      </w:r>
      <w:r>
        <w:rPr>
          <w:rFonts w:ascii="Arial" w:hAnsi="Arial" w:cs="Arial"/>
        </w:rPr>
        <w:t xml:space="preserve"> </w:t>
      </w:r>
      <w:hyperlink r:id="rId4" w:history="1">
        <w:r w:rsidRPr="003A1D67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 xml:space="preserve"> as inscrições de Pessoas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Jurídicas interessadas no fornecimento de material escolar, conforme Termo de Referência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adotado pelo Município (Anexo I), visando ao atendimento dos estudantes matriculados na Rede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Municipal de Ensino, de acordo com a Lei Federal nº 8.666/93 e nos termos da Lei Municipal nº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17.437/2020, Instrução Normativa SME nº 45/SME/2022, bem como demais normas 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regulamentos aplicáveis.</w:t>
      </w:r>
    </w:p>
    <w:p w14:paraId="266E3FFA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</w:p>
    <w:p w14:paraId="48084AF6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I- DO OBJETO DO EDITAL</w:t>
      </w:r>
    </w:p>
    <w:p w14:paraId="0130AD24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1.1. O presente Edital visa credenciar os interessados em fornecer material escolar, conforme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Termo de Referência previsto no Anexo I deste Edital, para atendimento dos estudantes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matriculados na Rede Municipal de Ensino, conforme disposto na Lei Municipal nº 17.437/2020 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Instrução Normativa SME nº 45/SME/2022.</w:t>
      </w:r>
    </w:p>
    <w:p w14:paraId="436EF586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1.2. O fornecimento destina-se aos estudantes matriculados nas Unidades Educacionais da Rede</w:t>
      </w:r>
    </w:p>
    <w:p w14:paraId="12CDFF68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Municipal de Ensino, conforme disposto na Instrução Normativa SME nº 45/SME/2022.</w:t>
      </w:r>
    </w:p>
    <w:p w14:paraId="03CC030A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1.3. O credenciamento tratado neste Edital, de acordo com a necessidade representada pela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demanda dos estudantes, terá caráter não exclusivo, não pressupondo a aquisição ou 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contratação de serviços.</w:t>
      </w:r>
    </w:p>
    <w:p w14:paraId="449D4A55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1.4. É necessário que o estabelecimento tenha disponibilidade para vender a integralidade do kit,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desde que observadas as especificações técnicas do Anexo I e os limites de pagamento previstos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no item 7 deste Edital, sendo facultado ao responsável do aluno, no entanto, a compra dos itens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separadamente.</w:t>
      </w:r>
    </w:p>
    <w:p w14:paraId="61398574" w14:textId="6E9931C9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1.5. As dotações que serão oneradas são: 16.12.12.365.3025.2815.3.3.90.32.00.00 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16.10.12.361.3025.2816.3.3.90.32.00.00.</w:t>
      </w:r>
    </w:p>
    <w:p w14:paraId="0617CF4E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</w:p>
    <w:p w14:paraId="76C1A687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II - DAS INSCRIÇÕES</w:t>
      </w:r>
    </w:p>
    <w:p w14:paraId="7E1E7EC0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2.1. As inscrições ocorrerão, por meio eletrônico, no link</w:t>
      </w:r>
      <w:r>
        <w:rPr>
          <w:rFonts w:ascii="Arial" w:hAnsi="Arial" w:cs="Arial"/>
        </w:rPr>
        <w:t xml:space="preserve"> </w:t>
      </w:r>
      <w:hyperlink r:id="rId5" w:history="1">
        <w:r w:rsidRPr="003A1D67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 w:rsidRPr="008171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F199BD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2.2. O requerimento deverá ser preenchido no meio eletrônico por meio do link</w:t>
      </w:r>
      <w:r>
        <w:rPr>
          <w:rFonts w:ascii="Arial" w:hAnsi="Arial" w:cs="Arial"/>
        </w:rPr>
        <w:t xml:space="preserve"> </w:t>
      </w:r>
      <w:hyperlink r:id="rId6" w:history="1">
        <w:r w:rsidRPr="003A1D67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. Será enviada ao e-mail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informado a confirmação de cadastro com o número do protocolo.</w:t>
      </w:r>
    </w:p>
    <w:p w14:paraId="39A3C998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2.3. No cadastro a que se refere o item 2.2 deverão ser, obrigatoriamente, anexados os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documentos relacionados no item 5 com as devidas assinaturas.</w:t>
      </w:r>
    </w:p>
    <w:p w14:paraId="5B798F4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2.4. O interessado deverá preencher Formulário de Inscrição, com os dados da pessoa jurídica 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os documentos exigidos neste edital, conforme item 5.</w:t>
      </w:r>
    </w:p>
    <w:p w14:paraId="617A866F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2.5. A vigência do credenciamento dos interessados para fornecimentos dos materiais escolares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será de 12 (doze) meses prorrogáveis conforme previsão da Lei 8.666/93. As inscrições serão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permanentes e a qualquer tempo serão aceitas novas inscrições de todos que atendam as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condições e os requisitos legais e técnicos para fornecimento do objeto, conforme estabelecido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no item 5.1.</w:t>
      </w:r>
    </w:p>
    <w:p w14:paraId="0CD6B0D8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0ED2FB62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325A078A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348442E4" w14:textId="4F029D51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lastRenderedPageBreak/>
        <w:t>III - DAS CONDIÇÕES DE PARTICIPAÇÃO</w:t>
      </w:r>
    </w:p>
    <w:p w14:paraId="5106F440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3.1 Poderão participar deste credenciamento os interessados que estejam de acordo com as</w:t>
      </w:r>
      <w:r>
        <w:rPr>
          <w:rFonts w:ascii="Arial" w:hAnsi="Arial" w:cs="Arial"/>
        </w:rPr>
        <w:t xml:space="preserve"> disposições</w:t>
      </w:r>
      <w:r w:rsidRPr="00817165">
        <w:rPr>
          <w:rFonts w:ascii="Arial" w:hAnsi="Arial" w:cs="Arial"/>
        </w:rPr>
        <w:t xml:space="preserve"> contidas neste Edital, que tenham objeto social pertinente e compatível com o objeto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e que apresentem a documentação exigida nos artigos 28 e 29 da Lei 8.666/93.</w:t>
      </w:r>
    </w:p>
    <w:p w14:paraId="12D529C6" w14:textId="5A788A5F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3.2 Os membros da Comissão Especial de Avaliação e Credenciamento e empresas que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possuam em seu quadro societário servidores públicos municipais não poderão participar do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presente Credenciamento.</w:t>
      </w:r>
    </w:p>
    <w:p w14:paraId="5D6150B3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</w:p>
    <w:p w14:paraId="16B04156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IV - DA COMISSÃO ESPECIAL DE AVALIAÇÃO E CREDENCIAMENTO</w:t>
      </w:r>
    </w:p>
    <w:p w14:paraId="02C740C2" w14:textId="7961DC55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4.1 A Comissão Especial de Avaliação e Credenciamento, com número ímpar de integrantes,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composta, pelo menos, por dois servidores efetivos, será responsável pela avaliação da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documentação apresentada e pelo credenciamento, de acordo com a sistemática estabelecida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neste Edital.</w:t>
      </w:r>
    </w:p>
    <w:p w14:paraId="3A4EAC01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</w:p>
    <w:p w14:paraId="310C1504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V - DAS CONDIÇÕES DE CREDENCIAMENTO</w:t>
      </w:r>
    </w:p>
    <w:p w14:paraId="378EF952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 São requisitos mínimos para o credenciamento:</w:t>
      </w:r>
    </w:p>
    <w:p w14:paraId="02FF987B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5.1.1. Ter objeto social pertinente e compatível com o objeto deste edital;</w:t>
      </w:r>
    </w:p>
    <w:p w14:paraId="22896A6C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5.1.2. Ter ponto físico e/ou stand de vendas situado no Município de São Paulo, com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estrutura para atendimento das famílias e estudantes (local apresentável e em bom estado,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contendo: identificação do comércio; materiais de divulgação do Programa, disponíveis no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site da SME; balcão de atendimento, disponibilização de internet para os responsáveis no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momento da compra, mostruário dos itens e demais equipamentos necessários para 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realização da venda e emissão de Nota e/ou Cupom Fiscal), informando e comprovando 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endereço do estabelecimento;</w:t>
      </w:r>
    </w:p>
    <w:p w14:paraId="0CC46C82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5.1.3. O atendimento às famílias deverá ser realizado nos pontos físicos credenciados,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minimamente em horário comercial de segunda à sábado;</w:t>
      </w:r>
    </w:p>
    <w:p w14:paraId="6683755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5.1.4. Não ter sido descredenciado da prestação de serviços similares nos últimos 3 (três)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anos anteriores ao exercício do presente credenciamento;</w:t>
      </w:r>
    </w:p>
    <w:p w14:paraId="5C397AB2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5.1.5. Não ter sido declarada inidônea, impedida ou suspensa para licitar e contratar com 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Poder Público, por quaisquer entes da administração pública, direta ou indireta, nas esferas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federal, estadual, distrital ou municipal, nos moldes do que estabelece a Orientação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Normativa 03/2012 da Procuradoria Geral do Município de São Paulo;</w:t>
      </w:r>
    </w:p>
    <w:p w14:paraId="2424F4AE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5.1.6. Se comprometer a fornecer os materiais, observada a qualidade e especificações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técnicas estabelecidas no Anexo I;</w:t>
      </w:r>
    </w:p>
    <w:p w14:paraId="38CB6DE9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 xml:space="preserve">5.1.6.1. </w:t>
      </w:r>
      <w:proofErr w:type="spellStart"/>
      <w:r w:rsidRPr="00817165">
        <w:rPr>
          <w:rFonts w:ascii="Arial" w:hAnsi="Arial" w:cs="Arial"/>
        </w:rPr>
        <w:t>Fornecer</w:t>
      </w:r>
      <w:proofErr w:type="spellEnd"/>
      <w:r w:rsidRPr="00817165">
        <w:rPr>
          <w:rFonts w:ascii="Arial" w:hAnsi="Arial" w:cs="Arial"/>
        </w:rPr>
        <w:t xml:space="preserve"> todos os materiais que compõem o kit que comercializará,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indicado no momento da inscrição;</w:t>
      </w:r>
    </w:p>
    <w:p w14:paraId="6F444E0C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5.1.7. Manifestar interesse em firmar Termo de Adesão ao Credenciamento (Anexo IV) com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 Secretaria Municipal de Educação, para o atendimento aos estudantes da Rede Municipal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de Ensino descritos no item 1.2;</w:t>
      </w:r>
    </w:p>
    <w:p w14:paraId="2A730A5D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5.1.8. Emitir Nota Fiscal Eletrônica ou Cupom Fiscal Eletrônico, através de sua Razão Social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e CNPJ e em modelo homologado pela Secretaria da Fazenda. Neste documento fiscal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deverá constar o CPF do(a) responsável legal pelo(a) aluno(a), que será comprovado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mediante apresentação de documento pessoal, bem como a descrição de todos os itens</w:t>
      </w:r>
      <w:r>
        <w:rPr>
          <w:rFonts w:ascii="Arial" w:hAnsi="Arial" w:cs="Arial"/>
        </w:rPr>
        <w:t xml:space="preserve"> </w:t>
      </w:r>
      <w:proofErr w:type="spellStart"/>
      <w:r w:rsidRPr="00817165">
        <w:rPr>
          <w:rFonts w:ascii="Arial" w:hAnsi="Arial" w:cs="Arial"/>
        </w:rPr>
        <w:t>adiquiridos</w:t>
      </w:r>
      <w:proofErr w:type="spellEnd"/>
      <w:r w:rsidRPr="00817165">
        <w:rPr>
          <w:rFonts w:ascii="Arial" w:hAnsi="Arial" w:cs="Arial"/>
        </w:rPr>
        <w:t>;</w:t>
      </w:r>
    </w:p>
    <w:p w14:paraId="1A6149C2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5.1.9. Encaminhar à operadora do “meio de pagamento” as Notas Fiscais Eletrônicas e/ou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os Cupons Fiscais Eletrônicos correspondentes à venda dos itens. As Notas e/ou os Cupons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deverão ser exclusivos(as) e não poderão conter outros produtos a não ser os aprovados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pela SME;</w:t>
      </w:r>
    </w:p>
    <w:p w14:paraId="21576541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5.1.10. Disponibilizar acesso à internet no seu estabelecimento a fim de possibilitar o uso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pelos responsáveis no momento da aquisição dos materiais escolares para que consigam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acessar o meio de pagamento eletrônico;</w:t>
      </w:r>
    </w:p>
    <w:p w14:paraId="30D436EC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5.1.11. Expor em local visível a lista dos itens que compõem os kits sugeridos pela SME 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demais orientações do Programa para que os responsáveis tenham acesso às informações;</w:t>
      </w:r>
    </w:p>
    <w:p w14:paraId="584BBA13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 Os documentos, todos válidos e necessários para o credenciamento são:</w:t>
      </w:r>
      <w:r>
        <w:rPr>
          <w:rFonts w:ascii="Arial" w:hAnsi="Arial" w:cs="Arial"/>
        </w:rPr>
        <w:t xml:space="preserve"> </w:t>
      </w:r>
    </w:p>
    <w:p w14:paraId="6C2E4989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lastRenderedPageBreak/>
        <w:t>5.2.1. Para sociedade empresária ou sociedade simples: ato constitutivo devidamente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registrado no respectivo registro, acompanhado dos documentos de eleição de seus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administradores, caso tal informação já não conste do referido ato.</w:t>
      </w:r>
    </w:p>
    <w:p w14:paraId="46C7F66B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5.2.1.1. Sociedades dependentes de autorização do poder executivo federal para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funcionar deverão também apresentar decreto de autorização ou ato de registro ou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autorização para funcionamento expedido pelo órgão competente, quando 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atividade assim o exigir.</w:t>
      </w:r>
    </w:p>
    <w:p w14:paraId="00454536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5.2.2. Para empresário individual ou de empresa individual de responsabilidade limitada:</w:t>
      </w:r>
    </w:p>
    <w:p w14:paraId="7C7CD00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comprovante de inscrição no registro público de empresas da respectiva sede.</w:t>
      </w:r>
    </w:p>
    <w:p w14:paraId="5B458B36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5.2.3. Declaração firmada pelo representante legal do credenciado, sob as penas da lei de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que cumpre o quanto estabelecido no art. 7º, XXXIII, da Constituição Federal, de acordo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com o modelo constante do Anexo II;</w:t>
      </w:r>
    </w:p>
    <w:p w14:paraId="15FA89C9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5.2.4. Declaração firmada pelo representante legal do credenciado, sob as penas da lei de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que cumpre o estabelecido no Art. 1º da Lei nº 10.803, de 11 de dezembro de 2003, que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altera o art. 149, do Decreto Lei nº 2.848, de 7 de dezembro de 1940, de acordo com 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modelo constante do Anexo II;</w:t>
      </w:r>
    </w:p>
    <w:p w14:paraId="47849E7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5.2.5. Declaração de inexistência de servidores públicos municipais nos quadros sociais da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proponente (Anexo II);</w:t>
      </w:r>
    </w:p>
    <w:p w14:paraId="45C008C8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5.2.6. Declaração de não descredenciamento da prestação de serviços similares nos últimos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três anos (Anexo II);</w:t>
      </w:r>
    </w:p>
    <w:p w14:paraId="731DBA6B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5.2.7. Comprovante de inscrição no Cadastro Nacional de Pessoas Jurídicas – CNPJ,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emitida no sítio da Secretaria da Receita Federal do Brasil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7" w:history="1">
        <w:r w:rsidRPr="003A1D67">
          <w:rPr>
            <w:rStyle w:val="Hyperlink"/>
            <w:rFonts w:ascii="Arial" w:hAnsi="Arial" w:cs="Arial"/>
          </w:rPr>
          <w:t>http://www.receita.fazenda.gov.br/pessoajuridica/cnpj/cnpjreva/cnpjreva_solicitacao.asp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56858BF0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5.2.8. Certidão Negativa de Tributos Mobiliários (CTM), relativos ao Município sede, com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prazo de validade em vigor. Caso a interessada não esteja cadastrada como contribuinte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neste Município, deverá apresentar declaração, firmada pelo representante legal, sob as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penas da lei, de que nada deve a Fazenda do Município de São Paulo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8" w:history="1">
        <w:r w:rsidRPr="003A1D67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5C5653C6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5.2.9. Certidão Negativa Conjunta de Débitos (CND) relativos a Tributos Federais e à Dívida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Ativa da União e Seguridade Social - INSS, expedida pela Receita Federal do Brasil, nos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termos da Portaria RFB/PGFN 1.751, de 02/10/2014, com prazo de validade em vigor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9" w:history="1">
        <w:r w:rsidRPr="003A1D67">
          <w:rPr>
            <w:rStyle w:val="Hyperlink"/>
            <w:rFonts w:ascii="Arial" w:hAnsi="Arial" w:cs="Arial"/>
          </w:rPr>
          <w:t>https://servicos.receita.fazenda.gov.br/Servicos/certidaointernet/PJ/Emitir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76D8A7BF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5.2.10. Certidão de Regularidade referente ao Fundo de Garantia por Tempo de Serviço –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FGTS, com prazo de validade em vigor (</w:t>
      </w:r>
      <w:hyperlink r:id="rId10" w:history="1">
        <w:r w:rsidRPr="003A1D67">
          <w:rPr>
            <w:rStyle w:val="Hyperlink"/>
            <w:rFonts w:ascii="Arial" w:hAnsi="Arial" w:cs="Arial"/>
          </w:rPr>
          <w:t>https://consultacrf.caixa.gov.br/consultacrf/pages/consultaEmpregador.jsf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70A83BE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5.2.11. Certidão Negativa de Débitos Trabalhistas – CNDT nos termos da Lei nº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12.440/2011 (</w:t>
      </w:r>
      <w:hyperlink r:id="rId11" w:history="1">
        <w:r w:rsidRPr="003A1D67">
          <w:rPr>
            <w:rStyle w:val="Hyperlink"/>
            <w:rFonts w:ascii="Arial" w:hAnsi="Arial" w:cs="Arial"/>
          </w:rPr>
          <w:t>www.tst.jus.br/certidao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010EEDF4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5.2.12. Comprovante de inexistência de registros no Cadastro Informativo Municipal –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CADIN MUNICIPAL, instituído pela Lei Municipal nº 14.094/05, regulamentada pelo Decreto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nº 47.096/06 (</w:t>
      </w:r>
      <w:hyperlink r:id="rId12" w:history="1">
        <w:r w:rsidRPr="003A1D67">
          <w:rPr>
            <w:rStyle w:val="Hyperlink"/>
            <w:rFonts w:ascii="Arial" w:hAnsi="Arial" w:cs="Arial"/>
          </w:rPr>
          <w:t>http://www3.prefeitura.sp.gov.br/cadin/pesq_deb.aspx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4CB65CF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5.2.13. Prova de inscrição no Cadastro do Contribuinte Estadual ou Municipal relativo ao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domicílio ou sede do credenciado, pertinente ao seu ramo de atividade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13" w:history="1">
        <w:r w:rsidRPr="003A1D67">
          <w:rPr>
            <w:rStyle w:val="Hyperlink"/>
            <w:rFonts w:ascii="Arial" w:hAnsi="Arial" w:cs="Arial"/>
          </w:rPr>
          <w:t>https://www.cadesp.fazenda.sp.gov.br/(S(jonmjrhabxhuz01c1fqwwrds))/Pages/Cadastro/Certidoes/ConsultaCertidaoNaoInscrito.aspx</w:t>
        </w:r>
      </w:hyperlink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</w:t>
      </w:r>
      <w:hyperlink r:id="rId14" w:history="1">
        <w:r w:rsidRPr="003A1D67">
          <w:rPr>
            <w:rStyle w:val="Hyperlink"/>
            <w:rFonts w:ascii="Arial" w:hAnsi="Arial" w:cs="Arial"/>
          </w:rPr>
          <w:t>https://ccm.prefeitura.sp.gov.br/login/contribuinte?tipo=F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7A0D8A91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5.2.14. Certidão de regularidade relativo aos Tributos Estaduais expedida por meio de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unidade estadual administrativa competente da sede do credenciado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15" w:history="1">
        <w:r w:rsidRPr="003A1D67">
          <w:rPr>
            <w:rStyle w:val="Hyperlink"/>
            <w:rFonts w:ascii="Arial" w:hAnsi="Arial" w:cs="Arial"/>
          </w:rPr>
          <w:t>https://www.dividaativa.pge.sp.gov.br/sc/pages/crda/emitirCrda.jsf?param=794666</w:t>
        </w:r>
      </w:hyperlink>
      <w:r w:rsidRPr="00817165">
        <w:rPr>
          <w:rFonts w:ascii="Arial" w:hAnsi="Arial" w:cs="Arial"/>
        </w:rPr>
        <w:t>);</w:t>
      </w:r>
    </w:p>
    <w:p w14:paraId="7489D63E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5.2.15. Certificado de Apenamento emitido pelo Tribunal de Contas do estado de São Paulo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- TCE-SP (</w:t>
      </w:r>
      <w:hyperlink r:id="rId16" w:history="1">
        <w:r w:rsidRPr="003A1D67">
          <w:rPr>
            <w:rStyle w:val="Hyperlink"/>
            <w:rFonts w:ascii="Arial" w:hAnsi="Arial" w:cs="Arial"/>
          </w:rPr>
          <w:t>https://www.tce.sp.gov.br/pesquisa-relacao-apenados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66ED10F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5.2.16. Certidão Negativa emitida pelo Conselho Nacional de Justiça – CNJ, referente ao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Cadastro Nacional de Condenações Cíveis por Ato de Improbidade Administrativa 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Inelegibilidade, com data de emissão não superior a 30 (trinta) dias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17" w:history="1">
        <w:r w:rsidRPr="003A1D67">
          <w:rPr>
            <w:rStyle w:val="Hyperlink"/>
            <w:rFonts w:ascii="Arial" w:hAnsi="Arial" w:cs="Arial"/>
          </w:rPr>
          <w:t>https://www.cnj.jus.br/improbidade_adm/consultar_requerido.php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2FB0CB18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lastRenderedPageBreak/>
        <w:t>5.2.17. Cadastro Nacional de Empresas Punidas (CNEP) –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18" w:history="1">
        <w:r w:rsidRPr="003A1D67">
          <w:rPr>
            <w:rStyle w:val="Hyperlink"/>
            <w:rFonts w:ascii="Arial" w:hAnsi="Arial" w:cs="Arial"/>
          </w:rPr>
          <w:t>https://portaldatransparencia.gov.br/sancoes/consulta?ordenarPor=nomeSancionado&amp;direcao=asc</w:t>
        </w:r>
      </w:hyperlink>
      <w:r w:rsidRPr="0081716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2C6C18C2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5.2.18. Certidão Negativa de Licitantes inidôneos, emitida pelo Tribunal de Contas da União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– TCU (</w:t>
      </w:r>
      <w:hyperlink r:id="rId19" w:history="1">
        <w:r w:rsidRPr="003A1D67">
          <w:rPr>
            <w:rStyle w:val="Hyperlink"/>
            <w:rFonts w:ascii="Arial" w:hAnsi="Arial" w:cs="Arial"/>
          </w:rPr>
          <w:t>https://contas.tcu.gov.br/ords/f?p=INABILITADO:CERTIDAO:0</w:t>
        </w:r>
      </w:hyperlink>
      <w:r w:rsidRPr="00817165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49FE976D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5.3. A falsidade das declarações referidas poderá caracterizar o crime previsto no artigo 299 do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Código Penal, sem prejuízo do enquadramento em outras figuras penais e da aplicação das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sanções administrativas previstas na legislação pertinente, observado o devido processo legal, 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implicará, também, o afastamento da proponente do credenciamento, se o fato vier a ser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constatado durante o procedimento de credenciamento.</w:t>
      </w:r>
    </w:p>
    <w:p w14:paraId="47041F5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5.4. A ausência ou irregularidade de qualquer dos documentos exigidos no item 5.2 impedirá 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credenciamento, observada a natureza do estabelecimento.</w:t>
      </w:r>
    </w:p>
    <w:p w14:paraId="288CB468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04333848" w14:textId="42E00E2D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VI - DO CREDENCIAMENTO</w:t>
      </w:r>
    </w:p>
    <w:p w14:paraId="3C02D64F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6.1. Serão credenciadas apenas as pessoas jurídicas que apresentarem toda a documentação,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válida e regular, exigida nos itens 5.2.1 a 5.2.16, observada a natureza do estabelecimento.</w:t>
      </w:r>
    </w:p>
    <w:p w14:paraId="53E4585C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6.2. A Comissão Especial de Avaliação e Credenciamento procederá à conferência da proposta,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dos documentos entregues pelos candidatos, certificando-se do atendimento às exigências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especificadas neste Edital.</w:t>
      </w:r>
    </w:p>
    <w:p w14:paraId="7A1E9C15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6.2.1. Havendo necessidade de complementação a Comissão Especial entrará em contato com 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requerente solicitando a apresentação de documento ou elucidações necessárias ao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prosseguimento.</w:t>
      </w:r>
    </w:p>
    <w:p w14:paraId="0356C998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6.3. A listagem dos credenciamentos homologados será publicada periodicamente no Diário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Oficial da Cidade de São Paulo e em meio eletrônico, no link</w:t>
      </w:r>
      <w:r>
        <w:rPr>
          <w:rFonts w:ascii="Arial" w:hAnsi="Arial" w:cs="Arial"/>
        </w:rPr>
        <w:t xml:space="preserve"> </w:t>
      </w:r>
      <w:hyperlink r:id="rId20" w:history="1">
        <w:r w:rsidRPr="003A1D67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 w:rsidRPr="008171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380785A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6.4. Caberá recurso contra a deliberação da Comissão Especial de Avaliação e Credenciamento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referida no item 6.3.</w:t>
      </w:r>
    </w:p>
    <w:p w14:paraId="6295EE02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6.5. O prazo para interposição de recurso de que trata o item 6.4 será de 05 (cinco) dias úteis 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contar da data da publicação da deliberação no Diário Oficial da Cidade.</w:t>
      </w:r>
    </w:p>
    <w:p w14:paraId="2CD8B059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6.6. Os recursos deverão ser apresentados de forma fundamentada, por petição enviada, com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confirmação de leitura, por correio eletrônico para o endereço institucional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(</w:t>
      </w:r>
      <w:hyperlink r:id="rId21" w:history="1">
        <w:r w:rsidRPr="003A1D67">
          <w:rPr>
            <w:rStyle w:val="Hyperlink"/>
            <w:rFonts w:ascii="Arial" w:hAnsi="Arial" w:cs="Arial"/>
          </w:rPr>
          <w:t>smecoservuniformematerial@sme.prefeitura.sp.gov.br</w:t>
        </w:r>
      </w:hyperlink>
      <w:r w:rsidRPr="0081716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 xml:space="preserve"> ou protocolada no endereço Rua Dr.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Diogo de Faria, 1247, sala 217, das 9h às 16h, contendo a indicação do número do comunicado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publicado no Diário Oficial, sendo obrigatória a apresentação de vias digitalizadas de CPF e RG,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caso o impugnante seja pessoa natural, e de vias digitalizadas de comprovante de inscrição no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CNPJ, ato constitutivo e, se necessário, procuração que comprove os poderes de representação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do signatário da impugnação, caso o impugnante seja pessoa jurídica.</w:t>
      </w:r>
    </w:p>
    <w:p w14:paraId="0FF21635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6.7. Não serão conhecidos recursos enviados pelo correio, fac-símile ou outro meio de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comunicação, assim como os que não tiverem identificação.</w:t>
      </w:r>
    </w:p>
    <w:p w14:paraId="554ABADB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6.8. Interposto o recurso, à autoridade superior competente poderá rever o parecer da Comissão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Especial de Avaliação e Credenciamento sendo essa decisão publicada no Diário Oficial da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Cidade de São Paulo.</w:t>
      </w:r>
    </w:p>
    <w:p w14:paraId="2EEF47F7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6.9. Caso a Comissão Especial de Avaliação e Credenciamento reconsidere sua decisão ou 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autoridade superior competente acate o recurso, nova relação dos credenciados será publicada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no Diário Oficial da Cidade.</w:t>
      </w:r>
    </w:p>
    <w:p w14:paraId="2CA8917E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6.10. Decididos os recursos eventualmente interpostos, ou não havendo estes, a autoridade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superior competente, homologará a decisão pelo credenciamento, devendo a referida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homologação ser publicada no Diário Oficial da Cidade de São Paulo.</w:t>
      </w:r>
    </w:p>
    <w:p w14:paraId="59E2628B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6.11. Conforme previsto pelo item 1.3, o credenciamento tratado neste Edital, de acordo com a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necessidade representada pela demanda dos estudantes, terá caráter não exclusivo, não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pressupondo a aquisição ou a contratação de serviços.</w:t>
      </w:r>
    </w:p>
    <w:p w14:paraId="5CEB4B2E" w14:textId="77777777" w:rsidR="00790EC0" w:rsidRPr="00817165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lastRenderedPageBreak/>
        <w:t>6.12. Deverá o credenciado validar as documentações periodicamente, sempre que necessário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ou solicitado pela Administração, durante a vigência do credenciamento.</w:t>
      </w:r>
    </w:p>
    <w:p w14:paraId="49B01800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817165">
        <w:rPr>
          <w:rFonts w:ascii="Arial" w:hAnsi="Arial" w:cs="Arial"/>
        </w:rPr>
        <w:t>6.13. Durante todo o período de validade a que se refere o item 6.12, será permitido o</w:t>
      </w:r>
      <w:r>
        <w:rPr>
          <w:rFonts w:ascii="Arial" w:hAnsi="Arial" w:cs="Arial"/>
        </w:rPr>
        <w:t xml:space="preserve"> </w:t>
      </w:r>
      <w:r w:rsidRPr="00817165">
        <w:rPr>
          <w:rFonts w:ascii="Arial" w:hAnsi="Arial" w:cs="Arial"/>
        </w:rPr>
        <w:t>credenciamento de novas empresas, que serão analisados pela Comissão Especial de Avaliação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 Credenciamento, de acordo com os pertinentes atos normativos e com as condições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estabelecidas neste Edital.</w:t>
      </w:r>
    </w:p>
    <w:p w14:paraId="03958E3F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6.14. Caberá à Comissão deliberar sobre o credenciamento de novos credenciados, por meio de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ato decisório a ser publicado no Diário Oficial da Cidade.</w:t>
      </w:r>
      <w:r>
        <w:rPr>
          <w:rFonts w:ascii="Arial" w:hAnsi="Arial" w:cs="Arial"/>
        </w:rPr>
        <w:t xml:space="preserve"> </w:t>
      </w:r>
    </w:p>
    <w:p w14:paraId="1B7EBCFD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6.15. Realizado o credenciamento de novo interessado, nova listagem dos credenciados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periodicamente atualizada será publicada no Diário Oficial da Cidade de São Paulo, e em meio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eletrônico, no link https://educacao.sme.prefeitura.sp.gov.br/portaldomaterialescolar.</w:t>
      </w:r>
    </w:p>
    <w:p w14:paraId="2F87157D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6824EEEE" w14:textId="38F1CE60" w:rsidR="00790EC0" w:rsidRPr="00A85445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85445">
        <w:rPr>
          <w:rFonts w:ascii="Arial" w:hAnsi="Arial" w:cs="Arial"/>
          <w:b/>
          <w:bCs/>
        </w:rPr>
        <w:t>VII - DO VALOR A SER PAGO PELO FORNECIMENTO DOS MATERIAIS ESCOLARES</w:t>
      </w:r>
    </w:p>
    <w:p w14:paraId="6BEF0310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7.1. O pagamento pelo fornecimento dos itens constantes do Anexo I ocorrerá pela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Administradora do “meio de pagamento”.</w:t>
      </w:r>
    </w:p>
    <w:p w14:paraId="4B557E83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7.2. O “meio de pagamento” utilizado terá validade apenas para aquisição de materiais escolares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junto às credenciadas, podendo ser utilizado até 31 de outubro de cada ano.</w:t>
      </w:r>
    </w:p>
    <w:p w14:paraId="29E3519D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7.3. O valor disponibilizado a título de auxílio financeiro por estudante será de:</w:t>
      </w:r>
    </w:p>
    <w:p w14:paraId="10BECEB4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a) Educação Infantil (</w:t>
      </w:r>
      <w:proofErr w:type="spellStart"/>
      <w:r w:rsidRPr="00106042">
        <w:rPr>
          <w:rFonts w:ascii="Arial" w:hAnsi="Arial" w:cs="Arial"/>
        </w:rPr>
        <w:t>Berçario</w:t>
      </w:r>
      <w:proofErr w:type="spellEnd"/>
      <w:r w:rsidRPr="00106042">
        <w:rPr>
          <w:rFonts w:ascii="Arial" w:hAnsi="Arial" w:cs="Arial"/>
        </w:rPr>
        <w:t xml:space="preserve"> I e II – CEI): R$ 41,26;</w:t>
      </w:r>
    </w:p>
    <w:p w14:paraId="030C7AA1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b) Educação Infantil (Mini Grupo I e II – CEI): R$ 95,53;</w:t>
      </w:r>
    </w:p>
    <w:p w14:paraId="10C91E8D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c) Educação Infantil (Infantil I e II – EMEI): R$ 143,94;</w:t>
      </w:r>
    </w:p>
    <w:p w14:paraId="0EA5B336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d) Ensino Fundamental – Ciclo de Alfabetização (1º ao 3º ano): R$ 166,67;</w:t>
      </w:r>
    </w:p>
    <w:p w14:paraId="05D8DAA3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e) Ensino Fundamental – Ciclo Interdisciplinar (4º ao 6º ano): R$ 201,28;</w:t>
      </w:r>
    </w:p>
    <w:p w14:paraId="6B4865A5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f) Ensino Fundamental – Ciclo Autoral (7º ao 9º ano): R$ 160,63;</w:t>
      </w:r>
    </w:p>
    <w:p w14:paraId="53706141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g) Ensino Médio e Educação de Jovens e Adultos: R$ 142,70;</w:t>
      </w:r>
    </w:p>
    <w:p w14:paraId="194FCD43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h) Escola de Idiomas - centros de estudos de línguas paulistanos (</w:t>
      </w:r>
      <w:proofErr w:type="spellStart"/>
      <w:r w:rsidRPr="00106042">
        <w:rPr>
          <w:rFonts w:ascii="Arial" w:hAnsi="Arial" w:cs="Arial"/>
        </w:rPr>
        <w:t>CELPs</w:t>
      </w:r>
      <w:proofErr w:type="spellEnd"/>
      <w:r w:rsidRPr="00106042">
        <w:rPr>
          <w:rFonts w:ascii="Arial" w:hAnsi="Arial" w:cs="Arial"/>
        </w:rPr>
        <w:t>): R$ 114,34.</w:t>
      </w:r>
    </w:p>
    <w:p w14:paraId="2582443B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7.4. Após a aquisição dos produtos pelos responsáveis/estudantes, a Administradora do “meio de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pagamento” fará o pagamento observado o limite máximo fixado pela Municipalidade a cada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estudante.</w:t>
      </w:r>
    </w:p>
    <w:p w14:paraId="11804A74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7.5. Os pagamentos mencionados nos itens anteriores representam a única remuneração que 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credenciado terá direito pelo fornecimento do objeto do credenciamento.</w:t>
      </w:r>
    </w:p>
    <w:p w14:paraId="01B4EE68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7.5.1. Não serão remunerados demais serviços ou produtos que não façam parte do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Anexo I.</w:t>
      </w:r>
    </w:p>
    <w:p w14:paraId="152AA9FB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7.6. Não serão cobradas taxas de transação do credenciado.</w:t>
      </w:r>
    </w:p>
    <w:p w14:paraId="15C7177F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20C7BD62" w14:textId="454C28D4" w:rsidR="00790EC0" w:rsidRPr="00A85445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85445">
        <w:rPr>
          <w:rFonts w:ascii="Arial" w:hAnsi="Arial" w:cs="Arial"/>
          <w:b/>
          <w:bCs/>
        </w:rPr>
        <w:t>VIII - DA CELEBRAÇÃO DO CREDENCIAMENTO</w:t>
      </w:r>
    </w:p>
    <w:p w14:paraId="29B90FC0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8.1. O credenciado firmará Termo de Adesão ao Credenciamento, após a homologação do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credenciamento, devidamente assinado pelo representante legal com as informações que, está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ciente das hipóteses de descredenciamento, que fornecerá os materiais escolares com 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qualidade exigida no Anexo I e pelo valor máximo estabelecido pela Secretaria Municipal de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Educação (item 7.3) e que está ciente das penalidades que poderá sofrer.</w:t>
      </w:r>
    </w:p>
    <w:p w14:paraId="6CE3F23C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3B9E069A" w14:textId="11DD2BBF" w:rsidR="00790EC0" w:rsidRPr="00A85445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85445">
        <w:rPr>
          <w:rFonts w:ascii="Arial" w:hAnsi="Arial" w:cs="Arial"/>
          <w:b/>
          <w:bCs/>
        </w:rPr>
        <w:t>IX - DO DESCREDENCIAMENTO</w:t>
      </w:r>
    </w:p>
    <w:p w14:paraId="38701138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 O descredenciamento poderá ocorrer:</w:t>
      </w:r>
    </w:p>
    <w:p w14:paraId="3E5171ED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9.1.1. Por parte do Credenciado, mediante notificação prévia encaminhada com 20 (vinte)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dias de antecedência;</w:t>
      </w:r>
    </w:p>
    <w:p w14:paraId="558C701B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 Por parte da Secretaria Municipal de Educação nas hipóteses a seguir descritas:</w:t>
      </w:r>
    </w:p>
    <w:p w14:paraId="07B5A1F1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9.1.2.1. Por inobservância do Edital de Credenciamento ou do Termo de Adesão;</w:t>
      </w:r>
    </w:p>
    <w:p w14:paraId="5E123DC4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9.1.2.2. Se vier a se evidenciar a incapacidade técnica ou a inidoneidade da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Credenciada;</w:t>
      </w:r>
    </w:p>
    <w:p w14:paraId="7CD87046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9.1.2.3. Paralisação dos serviços sem justa causa;</w:t>
      </w:r>
    </w:p>
    <w:p w14:paraId="16583919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9.1.2.4. Por determinação judicial;</w:t>
      </w:r>
    </w:p>
    <w:p w14:paraId="51933DBC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9.1.2.5. Por constatação de fraude no exercício das atividades englobadas por este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Credenciamento;</w:t>
      </w:r>
    </w:p>
    <w:p w14:paraId="18B44458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lastRenderedPageBreak/>
        <w:t>9.1.2.6. Por realização de atendimento e/ou venda de forma itinerante e clandestina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ou em ponto físico não credenciado;</w:t>
      </w:r>
    </w:p>
    <w:p w14:paraId="56AE9EC9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9.1.2.7. Por constatação recorrente de não cumprimento do horário comercial do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ponto físico credenciado;</w:t>
      </w:r>
    </w:p>
    <w:p w14:paraId="040E756A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9.1.2.8. Por divulgação e venda de itens de material escolar que não compõem os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kits aprovados;</w:t>
      </w:r>
    </w:p>
    <w:p w14:paraId="39BB28AB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9.1.2.9. Por descumprimento das especificações técnicas dos materiais que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compõem os kits;</w:t>
      </w:r>
    </w:p>
    <w:p w14:paraId="5C13F4B2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9.1.2.10. Outras formas previstas em lei e nesse Edital.</w:t>
      </w:r>
    </w:p>
    <w:p w14:paraId="049F42EF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9.1.3. O descredenciamento motivado por denúncias, apuração de irregularidades e fraudes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será precedido de procedimento administrativo em que garantido o direito ao contraditório 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a ampla defesa.</w:t>
      </w:r>
    </w:p>
    <w:p w14:paraId="6CD77E5F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9.1.3.1. Em caso de denúncia e necessidade de investigação policial, 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credenciamento será suspenso até que as apurações se encerrem, independente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da instauração de procedimento administrativo para possível descredenciamento 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possíveis responsabilidades criminais.</w:t>
      </w:r>
    </w:p>
    <w:p w14:paraId="5969A783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22180184" w14:textId="6C50235D" w:rsidR="00790EC0" w:rsidRPr="00A85445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85445">
        <w:rPr>
          <w:rFonts w:ascii="Arial" w:hAnsi="Arial" w:cs="Arial"/>
          <w:b/>
          <w:bCs/>
        </w:rPr>
        <w:t>X - DA FISCALIZAÇÃO</w:t>
      </w:r>
    </w:p>
    <w:p w14:paraId="0DFEFA4D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10.1. A Secretaria Municipal de Educação acompanhará as obrigações assumidas pelo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Credenciado.</w:t>
      </w:r>
    </w:p>
    <w:p w14:paraId="09D50B2E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10.2. Eventualmente poderão ocorrer visitas aos estabelecimentos credenciados para verificar se</w:t>
      </w:r>
      <w:r>
        <w:rPr>
          <w:rFonts w:ascii="Arial" w:hAnsi="Arial" w:cs="Arial"/>
        </w:rPr>
        <w:t xml:space="preserve"> </w:t>
      </w:r>
      <w:proofErr w:type="gramStart"/>
      <w:r w:rsidRPr="00106042">
        <w:rPr>
          <w:rFonts w:ascii="Arial" w:hAnsi="Arial" w:cs="Arial"/>
        </w:rPr>
        <w:t>os mesmos</w:t>
      </w:r>
      <w:proofErr w:type="gramEnd"/>
      <w:r w:rsidRPr="00106042">
        <w:rPr>
          <w:rFonts w:ascii="Arial" w:hAnsi="Arial" w:cs="Arial"/>
        </w:rPr>
        <w:t xml:space="preserve"> estão em conformidade com os critérios exigidos no Termo de Adesão através deste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Edital de Credenciamento.</w:t>
      </w:r>
    </w:p>
    <w:p w14:paraId="4D1AA7D2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10.3. Caso seja observado a necessidade de algum “ponto de melhoria” o responsável pelo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estabelecimento estará sujeito à formalização de advertência e termo de ajustamento de conduta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 xml:space="preserve">e será estabelecido um prazo para sua readequação. Findado o prazo, </w:t>
      </w:r>
      <w:proofErr w:type="gramStart"/>
      <w:r w:rsidRPr="00106042">
        <w:rPr>
          <w:rFonts w:ascii="Arial" w:hAnsi="Arial" w:cs="Arial"/>
        </w:rPr>
        <w:t>o mesmo</w:t>
      </w:r>
      <w:proofErr w:type="gramEnd"/>
      <w:r w:rsidRPr="00106042">
        <w:rPr>
          <w:rFonts w:ascii="Arial" w:hAnsi="Arial" w:cs="Arial"/>
        </w:rPr>
        <w:t xml:space="preserve"> deverá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apresentar as adequações e caso estas não estiverem de acordo com o Edital, ensejará 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aplicação de demais normas previstas no Termo de Adesão, garantindo o direito de ampla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defesa.</w:t>
      </w:r>
    </w:p>
    <w:p w14:paraId="12A50167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10.4. Eventuais denúncias poderão ser feitas nos canais de atendimento SP 156 através do link</w:t>
      </w:r>
      <w:r>
        <w:rPr>
          <w:rFonts w:ascii="Arial" w:hAnsi="Arial" w:cs="Arial"/>
        </w:rPr>
        <w:t xml:space="preserve"> </w:t>
      </w:r>
      <w:hyperlink r:id="rId22" w:history="1">
        <w:r w:rsidRPr="003A1D67">
          <w:rPr>
            <w:rStyle w:val="Hyperlink"/>
            <w:rFonts w:ascii="Arial" w:hAnsi="Arial" w:cs="Arial"/>
          </w:rPr>
          <w:t>https://sp156.prefeitura.sp.gov.br/portal/servicos/informacao?servico=3616</w:t>
        </w:r>
      </w:hyperlink>
      <w:r w:rsidRPr="001060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AA0ADED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5F338549" w14:textId="7FD0DC4F" w:rsidR="00790EC0" w:rsidRPr="00A85445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85445">
        <w:rPr>
          <w:rFonts w:ascii="Arial" w:hAnsi="Arial" w:cs="Arial"/>
          <w:b/>
          <w:bCs/>
        </w:rPr>
        <w:t>XI - DAS SANÇÕES</w:t>
      </w:r>
    </w:p>
    <w:p w14:paraId="568D3C8D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 O Credenciado estará sujeito, nos casos de fornecimento irregular de materiais, de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descumprimento do Termo de Adesão e das demais normas cabíveis, à aplicação das seguintes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penalidades, garantido o direito de ampla defesa:</w:t>
      </w:r>
    </w:p>
    <w:p w14:paraId="0358D0CE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11.1.1. Advertência e formalização de termo de ajustamento de conduta nos casos de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fornecimento irregular de materiais;</w:t>
      </w:r>
    </w:p>
    <w:p w14:paraId="014F31AD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11.1.2. Sem prejuízo das hipóteses previstas no item anterior, multa de 10% sobre o valor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das transações realizadas no mês e descredenciamento nos casos de fornecimento irregular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dos itens e realização de venda e pagamento on-line de forma não prevista no item 13 deste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Edital de Credenciamento e/ou da forma autorizada pela SME e pela administradora do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meio de pagamento;</w:t>
      </w:r>
    </w:p>
    <w:p w14:paraId="56316E39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11.1.3. Multa no valor de 5% sobre o valor das transações realizadas no mês, nos casos de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fornecimento dos itens em ponto físico não credenciado;</w:t>
      </w:r>
    </w:p>
    <w:p w14:paraId="415E5946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11.1.4. Multa no valor de 20% sobre o valor apurado da fraude nos casos de cometimento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de fraude durante a execução do Termo de Adesão;</w:t>
      </w:r>
    </w:p>
    <w:p w14:paraId="5B93AC31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11.1.4.1. A penalidade de multa prevista no item 11.1.4 será aplicada independentemente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do descredenciamento e das sanções penais, civis e administrativas previstas em legislação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específica;</w:t>
      </w:r>
    </w:p>
    <w:p w14:paraId="4B41C4DE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11.1.5. Impedimento de novo credenciamento pelo prazo de 3 (três) anos.</w:t>
      </w:r>
    </w:p>
    <w:p w14:paraId="352A5629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11.1.6. Multa de 2% (dois por cento) sobre o valor das transações realizadas no mês, na hipótese</w:t>
      </w:r>
      <w:r>
        <w:rPr>
          <w:rFonts w:ascii="Arial" w:hAnsi="Arial" w:cs="Arial"/>
        </w:rPr>
        <w:t xml:space="preserve"> </w:t>
      </w:r>
      <w:r w:rsidRPr="00106042">
        <w:rPr>
          <w:rFonts w:ascii="Arial" w:hAnsi="Arial" w:cs="Arial"/>
        </w:rPr>
        <w:t>de descumprimento de cláusula não amparado por regra específica.</w:t>
      </w:r>
    </w:p>
    <w:p w14:paraId="343830BF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11.2. Caracteriza fornecimento irregular:</w:t>
      </w:r>
    </w:p>
    <w:p w14:paraId="6AB2DEA9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11.2.1. Falta constante de algum item;</w:t>
      </w:r>
    </w:p>
    <w:p w14:paraId="6B14D9FA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11.2.2. Não atendimento as especificações técnicas;</w:t>
      </w:r>
    </w:p>
    <w:p w14:paraId="19FB2AD5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11.2.3. Venda de outro produto que não faça parte do kit;</w:t>
      </w:r>
    </w:p>
    <w:p w14:paraId="53A6ED24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11.2.4. Cobrança das famílias de outras taxas;</w:t>
      </w:r>
    </w:p>
    <w:p w14:paraId="45E46E05" w14:textId="77777777" w:rsidR="00790EC0" w:rsidRPr="00106042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lastRenderedPageBreak/>
        <w:t>11.2.5. Não disponibilização de internet;</w:t>
      </w:r>
    </w:p>
    <w:p w14:paraId="675D9DE4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042">
        <w:rPr>
          <w:rFonts w:ascii="Arial" w:hAnsi="Arial" w:cs="Arial"/>
        </w:rPr>
        <w:t>11.2.6. Comercialização dos materiais nas unidades educacionais;</w:t>
      </w:r>
    </w:p>
    <w:p w14:paraId="0D7F192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11.2.7. Comercialização de forma itinerante em veículos e/ou barracas, realizadas de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forma clandestina em praças ou vias públicas, ou ainda em pontos físicos não cadastrados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na inscrição do estabelecimento.</w:t>
      </w:r>
    </w:p>
    <w:p w14:paraId="5FF3F701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11.2.8. Comercialização de kit fechado.</w:t>
      </w:r>
    </w:p>
    <w:p w14:paraId="2E4A2DBB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2D57D069" w14:textId="513D0DE0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XII - DA IMPUGNAÇÃO DO EDITAL</w:t>
      </w:r>
    </w:p>
    <w:p w14:paraId="1CE306F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12.1. Qualquer pessoa poderá impugnar o edital de credenciamento.</w:t>
      </w:r>
    </w:p>
    <w:p w14:paraId="4C8EFBC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12.1.1. O prazo para apresentação da impugnação será de até 05 (cinco) dias úteis a contar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da data da publicação do Edital;</w:t>
      </w:r>
    </w:p>
    <w:p w14:paraId="245D2D00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12.1.2. A impugnação deverá ser apresentada de forma fundamentada, por petição enviada,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com confirmação de leitura, por correio eletrônico para o endereço institucional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(</w:t>
      </w:r>
      <w:hyperlink r:id="rId23" w:history="1">
        <w:r w:rsidRPr="003A1D67">
          <w:rPr>
            <w:rStyle w:val="Hyperlink"/>
            <w:rFonts w:ascii="Arial" w:hAnsi="Arial" w:cs="Arial"/>
          </w:rPr>
          <w:t>smecoservduniformematerial@sme.prefeitura.sp.gov.br</w:t>
        </w:r>
      </w:hyperlink>
      <w:r w:rsidRPr="00106E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 xml:space="preserve"> ou protocolada no endereço Rua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Dr. Diogo de Faria, 1247, sala 217, das 9h às 16h, contendo a indicação do número do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Edital publicado no Diário Oficial, sendo obrigatória a apresentação de vias digitalizadas de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CPF e RG, caso o impugnante seja pessoa natural, e de vias digitalizadas de comprovante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de inscrição no CNPJ, ato constitutivo e, se necessário, procuração que comprove os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poderes de representação do signatário da impugnação, caso o impugnante seja pessoa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jurídica;</w:t>
      </w:r>
    </w:p>
    <w:p w14:paraId="25942594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12.1.3. Não serão conhecidas impugnações enviadas pelo correio, fac-símile ou outro meio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de comunicação, assim como as que não tiverem identificação;</w:t>
      </w:r>
    </w:p>
    <w:p w14:paraId="3F726AAB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12.1.4. Apresentada a impugnação, à autoridade superior competente deverá julgá-la em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até 2 (dois) dias úteis contados da data de recebimento da impugnação, sendo essa decisão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publicada no Diário Oficial da Cidade de São Paulo;</w:t>
      </w:r>
    </w:p>
    <w:p w14:paraId="2372FC0A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12.1.5. Caso a autoridade competente acolha a impugnação apresentada, deverá fazer as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devidas alterações no Edital e novo Edital será publicado no Diário Oficial da Cidade de São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Paulo;</w:t>
      </w:r>
    </w:p>
    <w:p w14:paraId="0D3BBDEA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12.1.6. A impugnante não será impedida de participar do credenciamento.</w:t>
      </w:r>
    </w:p>
    <w:p w14:paraId="37BF1F2C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47F168EA" w14:textId="6EC9333A" w:rsidR="00790EC0" w:rsidRPr="00A85445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85445">
        <w:rPr>
          <w:rFonts w:ascii="Arial" w:hAnsi="Arial" w:cs="Arial"/>
          <w:b/>
          <w:bCs/>
        </w:rPr>
        <w:t>XIII – DA VENDA E PAGAMENTO ON-LINE</w:t>
      </w:r>
    </w:p>
    <w:p w14:paraId="1352A79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13.1. Os credenciados deverão realizar venda presencial em seu estabelecimento e poderão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vender pelo seu site, realizando pagamento via link.</w:t>
      </w:r>
    </w:p>
    <w:p w14:paraId="64F4D3E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13.1.1 O link será gerado através da plataforma integrada entre a contratada e os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estabelecimentos credenciados interessados nesse modelo de comercialização.</w:t>
      </w:r>
    </w:p>
    <w:p w14:paraId="1F7222A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13.1.2. O credenciado acessará esta plataforma com seus dados cadastrados previamente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e adicionará as informações da compra, o sistema emitirá um link para que o responsável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possa acessar e efetivar a transação. O responsável poderá receber o link via e-mail. Esse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mesmo link pode ser copiado e enviado ao responsável por meio de demais canais diretos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de comunicação.</w:t>
      </w:r>
    </w:p>
    <w:p w14:paraId="78A8436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13.1.3. Ao acessar o link, o responsável visualizará todas as informações da compra,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 xml:space="preserve">incluindo os dados do lojista. Após conferência, </w:t>
      </w:r>
      <w:proofErr w:type="gramStart"/>
      <w:r w:rsidRPr="00106E85">
        <w:rPr>
          <w:rFonts w:ascii="Arial" w:hAnsi="Arial" w:cs="Arial"/>
        </w:rPr>
        <w:t>o mesmo</w:t>
      </w:r>
      <w:proofErr w:type="gramEnd"/>
      <w:r w:rsidRPr="00106E85">
        <w:rPr>
          <w:rFonts w:ascii="Arial" w:hAnsi="Arial" w:cs="Arial"/>
        </w:rPr>
        <w:t xml:space="preserve"> deverá validar a transação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através do código demonstrado via cartão virtual constante no aplicativo do responsável,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para assim, efetivar a operação.</w:t>
      </w:r>
    </w:p>
    <w:p w14:paraId="6A2F6F8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13.1.4. O link será emitido de forma única e para cada transação e após a efetivação, não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terá mais funcionalidade.</w:t>
      </w:r>
    </w:p>
    <w:p w14:paraId="38D5B00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13.2. Outras formas de venda e pagamento on-line, não previstas neste Edital de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Credenciamento, deverão ser analisadas pela administradora do meio de pagamento e a SME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previamente a implementação.</w:t>
      </w:r>
    </w:p>
    <w:p w14:paraId="78CE182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13.3. Os custos da entrega dos materiais aos responsáveis correrão à custa do credenciado. Não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poderão ser cobradas taxas de entrega das famílias, tanto do valor do benefício, quanto de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recursos próprios.</w:t>
      </w:r>
    </w:p>
    <w:p w14:paraId="1580E7A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13.3.1. Os materiais decorrentes de compra e pagamento on-line não poderão ser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entregues na SME, nas Diretorias Regionais de Educação e nas Unidades Educacionais.</w:t>
      </w:r>
    </w:p>
    <w:p w14:paraId="5398D876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0D430181" w14:textId="3A1BB26D" w:rsidR="00790EC0" w:rsidRPr="00A85445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85445">
        <w:rPr>
          <w:rFonts w:ascii="Arial" w:hAnsi="Arial" w:cs="Arial"/>
          <w:b/>
          <w:bCs/>
        </w:rPr>
        <w:lastRenderedPageBreak/>
        <w:t>XIV - DAS DISPOSIÇÕES FINAIS</w:t>
      </w:r>
    </w:p>
    <w:p w14:paraId="5E9D688F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14.1. O ato de inscrição implica a sujeição às condições estabelecidas neste Edital.</w:t>
      </w:r>
    </w:p>
    <w:p w14:paraId="57C126B7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14.2. Fica eleito, desde logo, o foro da Comarca da cidade de São Paulo para dirimir eventuais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questões decorrentes deste Edital.</w:t>
      </w:r>
    </w:p>
    <w:p w14:paraId="27F7227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14.3. A SME, por intermédio da Comissão de Seleção, apreciará e resolverá os casos omissos.</w:t>
      </w:r>
    </w:p>
    <w:p w14:paraId="1F4084F0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4EF2A705" w14:textId="4559C0A6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ANEXO I</w:t>
      </w:r>
    </w:p>
    <w:p w14:paraId="5BD8552E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DFE3897" w14:textId="1548A386" w:rsidR="00790EC0" w:rsidRDefault="00790EC0" w:rsidP="00790EC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60CD3">
        <w:rPr>
          <w:rFonts w:ascii="Arial" w:hAnsi="Arial" w:cs="Arial"/>
          <w:b/>
          <w:bCs/>
          <w:i/>
          <w:iCs/>
        </w:rPr>
        <w:t>a) Composição dos kits por modalidade</w:t>
      </w:r>
    </w:p>
    <w:p w14:paraId="1EB60F0B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CCDE78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A composição é determinada pela Instrução Normativa nº 45/SME/2022 e replicada, conforme</w:t>
      </w:r>
      <w:r>
        <w:rPr>
          <w:rFonts w:ascii="Arial" w:hAnsi="Arial" w:cs="Arial"/>
        </w:rPr>
        <w:t xml:space="preserve"> </w:t>
      </w:r>
      <w:r w:rsidRPr="00106E85">
        <w:rPr>
          <w:rFonts w:ascii="Arial" w:hAnsi="Arial" w:cs="Arial"/>
        </w:rPr>
        <w:t>abaixo:</w:t>
      </w:r>
    </w:p>
    <w:p w14:paraId="2DF2DE4C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7237E461" w14:textId="1A0ADDFC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Educação Infantil – Berçário I e II:</w:t>
      </w:r>
    </w:p>
    <w:p w14:paraId="6541623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1(uma) Agenda escolar – Educação Infantil;</w:t>
      </w:r>
    </w:p>
    <w:p w14:paraId="18628186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giz de cera grosso (12 cores);</w:t>
      </w:r>
    </w:p>
    <w:p w14:paraId="160FB07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tinta guache (6 cores).</w:t>
      </w:r>
    </w:p>
    <w:p w14:paraId="0ACADB6B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72F1CDAC" w14:textId="23503DA3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Educação Infantil – Mini Grupo I e II:</w:t>
      </w:r>
    </w:p>
    <w:p w14:paraId="416C36C5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1(uma) Agenda escolar – Educação Infantil;</w:t>
      </w:r>
    </w:p>
    <w:p w14:paraId="6F7E03FF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giz de cera grosso (12 cores);</w:t>
      </w:r>
    </w:p>
    <w:p w14:paraId="506C451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(dois) cadernos de desenho – 96 folhas;</w:t>
      </w:r>
    </w:p>
    <w:p w14:paraId="64A2B20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colas brancas;</w:t>
      </w:r>
    </w:p>
    <w:p w14:paraId="5095C03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3 (três) conjuntos de massa para modelar (6 cores);</w:t>
      </w:r>
    </w:p>
    <w:p w14:paraId="1BFBE4D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tesoura;</w:t>
      </w:r>
    </w:p>
    <w:p w14:paraId="29878E76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tinta guache (6 cores).</w:t>
      </w:r>
    </w:p>
    <w:p w14:paraId="2C69E73C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507103BB" w14:textId="7791B8C2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Educação Infantil – Infantil:</w:t>
      </w:r>
    </w:p>
    <w:p w14:paraId="1AA905F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1(uma) Agenda escolar – Educação Infantil;</w:t>
      </w:r>
    </w:p>
    <w:p w14:paraId="6157615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1(um) apontador;</w:t>
      </w:r>
    </w:p>
    <w:p w14:paraId="703E742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1(uma) borracha branca;</w:t>
      </w:r>
    </w:p>
    <w:p w14:paraId="26FA56A1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(dois) cadernos de desenho – 96 folhas;</w:t>
      </w:r>
    </w:p>
    <w:p w14:paraId="6CDA385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canetas hidrográficas (12 cores);</w:t>
      </w:r>
    </w:p>
    <w:p w14:paraId="0AAFC031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colas brancas;</w:t>
      </w:r>
    </w:p>
    <w:p w14:paraId="136CCAFB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giz de cera grosso (12 cores);</w:t>
      </w:r>
    </w:p>
    <w:p w14:paraId="4FB3B4FB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(dois) conjuntos de lápis de cor (12 cores);</w:t>
      </w:r>
    </w:p>
    <w:p w14:paraId="3C32EB0F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(dois) lápis grafite;</w:t>
      </w:r>
    </w:p>
    <w:p w14:paraId="08706B2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3 (três) conjuntos de massa para modelar (6 cores);</w:t>
      </w:r>
    </w:p>
    <w:p w14:paraId="5BCC772F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tesoura;</w:t>
      </w:r>
    </w:p>
    <w:p w14:paraId="4E053E1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tinta guache (6 cores).</w:t>
      </w:r>
    </w:p>
    <w:p w14:paraId="146E1E65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3A2C9190" w14:textId="75D8ACE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Ensino Fundamental – Ciclo de Alfabetização:</w:t>
      </w:r>
    </w:p>
    <w:p w14:paraId="5AD90F8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Agenda escolar – Ensino Fundamental;</w:t>
      </w:r>
    </w:p>
    <w:p w14:paraId="5435ECE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apontador;</w:t>
      </w:r>
    </w:p>
    <w:p w14:paraId="33CD8C71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borrachas brancas;</w:t>
      </w:r>
    </w:p>
    <w:p w14:paraId="6F91ABE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4 (quatro) cadernos do tipo “</w:t>
      </w:r>
      <w:proofErr w:type="spellStart"/>
      <w:r w:rsidRPr="00106E85">
        <w:rPr>
          <w:rFonts w:ascii="Arial" w:hAnsi="Arial" w:cs="Arial"/>
        </w:rPr>
        <w:t>brochurão</w:t>
      </w:r>
      <w:proofErr w:type="spellEnd"/>
      <w:r w:rsidRPr="00106E85">
        <w:rPr>
          <w:rFonts w:ascii="Arial" w:hAnsi="Arial" w:cs="Arial"/>
        </w:rPr>
        <w:t>” – mínimo 80 folhas;</w:t>
      </w:r>
    </w:p>
    <w:p w14:paraId="427DC45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caderno de desenho – 96 folhas;</w:t>
      </w:r>
    </w:p>
    <w:p w14:paraId="6DE2399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canetas hidrográficas (12 cores);</w:t>
      </w:r>
    </w:p>
    <w:p w14:paraId="1AC9071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colas brancas;</w:t>
      </w:r>
    </w:p>
    <w:p w14:paraId="2D22BDAD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estojo escolar;</w:t>
      </w:r>
    </w:p>
    <w:p w14:paraId="28D35D0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giz de cera (12 cores);</w:t>
      </w:r>
    </w:p>
    <w:p w14:paraId="4FA4C4D0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lastRenderedPageBreak/>
        <w:t>1 (um) conjunto de lápis de cor (12 cores);</w:t>
      </w:r>
    </w:p>
    <w:p w14:paraId="7F1F2F4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5 (cinco) lápis grafite;</w:t>
      </w:r>
    </w:p>
    <w:p w14:paraId="6A65E78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régua;</w:t>
      </w:r>
    </w:p>
    <w:p w14:paraId="6270D294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tesoura;</w:t>
      </w:r>
    </w:p>
    <w:p w14:paraId="4F5E85FB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</w:rPr>
      </w:pPr>
    </w:p>
    <w:p w14:paraId="1D4B671D" w14:textId="5F90C18F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Ensino Fundamental – Ciclo Interdisciplinar:</w:t>
      </w:r>
    </w:p>
    <w:p w14:paraId="70BF73D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Agenda escolar – Ensino Fundamental;</w:t>
      </w:r>
    </w:p>
    <w:p w14:paraId="7BCCC531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apontador;</w:t>
      </w:r>
    </w:p>
    <w:p w14:paraId="79B5D5D1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borrachas brancas;</w:t>
      </w:r>
    </w:p>
    <w:p w14:paraId="4FD8BE3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caderno de desenho – 96 folhas;</w:t>
      </w:r>
    </w:p>
    <w:p w14:paraId="4906379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5 (cinco) cadernos universitários – mínimo 80 folhas;</w:t>
      </w:r>
    </w:p>
    <w:p w14:paraId="0E8FA67A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azuis;</w:t>
      </w:r>
    </w:p>
    <w:p w14:paraId="37F24B25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pretas;</w:t>
      </w:r>
    </w:p>
    <w:p w14:paraId="6539A674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canetas hidrográficas (12 cores);</w:t>
      </w:r>
    </w:p>
    <w:p w14:paraId="6FB38C1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colas brancas;</w:t>
      </w:r>
    </w:p>
    <w:p w14:paraId="5611B03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estojo escolar;</w:t>
      </w:r>
    </w:p>
    <w:p w14:paraId="7FA2C70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giz de cera (12 cores);</w:t>
      </w:r>
    </w:p>
    <w:p w14:paraId="22BA8AE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lápis de cor (12 cores);</w:t>
      </w:r>
    </w:p>
    <w:p w14:paraId="697053E0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4 (quatro) lápis grafite;</w:t>
      </w:r>
    </w:p>
    <w:p w14:paraId="154EB7E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régua;</w:t>
      </w:r>
    </w:p>
    <w:p w14:paraId="07F1F89B" w14:textId="4B911EF1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tesoura.</w:t>
      </w:r>
    </w:p>
    <w:p w14:paraId="195CD95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</w:p>
    <w:p w14:paraId="68DB040F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Ensino Fundamental – Ciclo Autoral:</w:t>
      </w:r>
    </w:p>
    <w:p w14:paraId="3537A4AB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apontador;</w:t>
      </w:r>
    </w:p>
    <w:p w14:paraId="32B4F935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borrachas brancas;</w:t>
      </w:r>
    </w:p>
    <w:p w14:paraId="63C92BD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caderno de desenho – 96 folhas;</w:t>
      </w:r>
    </w:p>
    <w:p w14:paraId="37A48D4F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3 (três) cadernos universitários – mínimo 160 folhas;</w:t>
      </w:r>
    </w:p>
    <w:p w14:paraId="3ECDE93D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azuis;</w:t>
      </w:r>
    </w:p>
    <w:p w14:paraId="7C79A55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pretas;</w:t>
      </w:r>
    </w:p>
    <w:p w14:paraId="61C824A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caneta esferográfica vermelha;</w:t>
      </w:r>
    </w:p>
    <w:p w14:paraId="56335A8F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cola branca;</w:t>
      </w:r>
    </w:p>
    <w:p w14:paraId="0B2600C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esquadro 45º;</w:t>
      </w:r>
    </w:p>
    <w:p w14:paraId="4BF7E00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esquadro 60º</w:t>
      </w:r>
    </w:p>
    <w:p w14:paraId="7F5A464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lápis de cor (12 cores);</w:t>
      </w:r>
    </w:p>
    <w:p w14:paraId="45480F6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4 (quatro) lápis grafite;</w:t>
      </w:r>
    </w:p>
    <w:p w14:paraId="7883C000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régua;</w:t>
      </w:r>
    </w:p>
    <w:p w14:paraId="7169BB2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tesoura;</w:t>
      </w:r>
    </w:p>
    <w:p w14:paraId="003EC53B" w14:textId="3903D324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transferidor 180º;</w:t>
      </w:r>
    </w:p>
    <w:p w14:paraId="62C7DF2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</w:p>
    <w:p w14:paraId="0321231B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Ensino Médio e Educação de Jovens e Adultos:</w:t>
      </w:r>
    </w:p>
    <w:p w14:paraId="294C7EE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apontador;</w:t>
      </w:r>
    </w:p>
    <w:p w14:paraId="76AD3FB1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borrachas brancas;</w:t>
      </w:r>
    </w:p>
    <w:p w14:paraId="6F7156C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caderno de desenho – 96 folhas;</w:t>
      </w:r>
    </w:p>
    <w:p w14:paraId="6A1C1BD6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3 (três) cadernos universitários – mínimo 160 folhas;</w:t>
      </w:r>
    </w:p>
    <w:p w14:paraId="5364DC7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azuis;</w:t>
      </w:r>
    </w:p>
    <w:p w14:paraId="5F69FD5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pretas;</w:t>
      </w:r>
    </w:p>
    <w:p w14:paraId="0029037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caneta esferográfica vermelha;</w:t>
      </w:r>
    </w:p>
    <w:p w14:paraId="4075E42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lápis de cor (12 cores);</w:t>
      </w:r>
    </w:p>
    <w:p w14:paraId="05BED82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3 (três) lápis grafite;</w:t>
      </w:r>
    </w:p>
    <w:p w14:paraId="05764D0C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régua;</w:t>
      </w:r>
    </w:p>
    <w:p w14:paraId="26767DC8" w14:textId="28C985AF" w:rsidR="00790EC0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tesoura;</w:t>
      </w:r>
    </w:p>
    <w:p w14:paraId="561A573A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</w:p>
    <w:p w14:paraId="2AC432E1" w14:textId="77777777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</w:rPr>
      </w:pPr>
      <w:r w:rsidRPr="00A60CD3">
        <w:rPr>
          <w:rFonts w:ascii="Arial" w:hAnsi="Arial" w:cs="Arial"/>
          <w:b/>
          <w:bCs/>
        </w:rPr>
        <w:t> Escola de Idiomas – centros de estudos de línguas paulistanos (</w:t>
      </w:r>
      <w:proofErr w:type="spellStart"/>
      <w:r w:rsidRPr="00A60CD3">
        <w:rPr>
          <w:rFonts w:ascii="Arial" w:hAnsi="Arial" w:cs="Arial"/>
          <w:b/>
          <w:bCs/>
        </w:rPr>
        <w:t>CELPs</w:t>
      </w:r>
      <w:proofErr w:type="spellEnd"/>
      <w:r w:rsidRPr="00A60CD3">
        <w:rPr>
          <w:rFonts w:ascii="Arial" w:hAnsi="Arial" w:cs="Arial"/>
          <w:b/>
          <w:bCs/>
        </w:rPr>
        <w:t>):</w:t>
      </w:r>
    </w:p>
    <w:p w14:paraId="43E0B7AE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 xml:space="preserve">1 (um) </w:t>
      </w:r>
      <w:proofErr w:type="spellStart"/>
      <w:r w:rsidRPr="00106E85">
        <w:rPr>
          <w:rFonts w:ascii="Arial" w:hAnsi="Arial" w:cs="Arial"/>
        </w:rPr>
        <w:t>apotador</w:t>
      </w:r>
      <w:proofErr w:type="spellEnd"/>
      <w:r w:rsidRPr="00106E85">
        <w:rPr>
          <w:rFonts w:ascii="Arial" w:hAnsi="Arial" w:cs="Arial"/>
        </w:rPr>
        <w:t>;</w:t>
      </w:r>
    </w:p>
    <w:p w14:paraId="1EF3752A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borrachas brancas;</w:t>
      </w:r>
    </w:p>
    <w:p w14:paraId="7CE295C2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caderno universitário - mínimo 80 folhas;</w:t>
      </w:r>
    </w:p>
    <w:p w14:paraId="1B983AF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caderno de desenho – 96 folhas;</w:t>
      </w:r>
    </w:p>
    <w:p w14:paraId="3A1A3F57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azuis;</w:t>
      </w:r>
    </w:p>
    <w:p w14:paraId="1BFCB5E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canetas esferográficas pretas;</w:t>
      </w:r>
    </w:p>
    <w:p w14:paraId="48DA91AB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canetas hidrográficas (12 cores);</w:t>
      </w:r>
    </w:p>
    <w:p w14:paraId="04131C8D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2 (duas) colas brancas;</w:t>
      </w:r>
    </w:p>
    <w:p w14:paraId="6C3AEF03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estojo escolar;</w:t>
      </w:r>
    </w:p>
    <w:p w14:paraId="2BF0433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giz de cera (12 cores);</w:t>
      </w:r>
    </w:p>
    <w:p w14:paraId="3B4FA25F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(um) conjunto de lápis de cor (12 cores);</w:t>
      </w:r>
    </w:p>
    <w:p w14:paraId="7914E6FB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4 (quatro) lápis grafite;</w:t>
      </w:r>
    </w:p>
    <w:p w14:paraId="31EE2E89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régua;</w:t>
      </w:r>
    </w:p>
    <w:p w14:paraId="197C0148" w14:textId="77777777" w:rsidR="00790EC0" w:rsidRPr="00106E85" w:rsidRDefault="00790EC0" w:rsidP="00790EC0">
      <w:pPr>
        <w:spacing w:after="0"/>
        <w:jc w:val="both"/>
        <w:rPr>
          <w:rFonts w:ascii="Arial" w:hAnsi="Arial" w:cs="Arial"/>
        </w:rPr>
      </w:pPr>
      <w:r w:rsidRPr="00106E85">
        <w:rPr>
          <w:rFonts w:ascii="Arial" w:hAnsi="Arial" w:cs="Arial"/>
        </w:rPr>
        <w:t>1 (uma) tesoura.</w:t>
      </w:r>
    </w:p>
    <w:p w14:paraId="125DF16E" w14:textId="77777777" w:rsidR="00790EC0" w:rsidRDefault="00790EC0" w:rsidP="00790EC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549F3E2" w14:textId="264DD12A" w:rsidR="00790EC0" w:rsidRPr="00A60CD3" w:rsidRDefault="00790EC0" w:rsidP="00790EC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60CD3">
        <w:rPr>
          <w:rFonts w:ascii="Arial" w:hAnsi="Arial" w:cs="Arial"/>
          <w:b/>
          <w:bCs/>
          <w:i/>
          <w:iCs/>
        </w:rPr>
        <w:t>b) Especificações Técnicas dos itens que compõem os kits</w:t>
      </w:r>
    </w:p>
    <w:p w14:paraId="411DFEF1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</w:p>
    <w:p w14:paraId="36CA3539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Consulte</w:t>
      </w:r>
    </w:p>
    <w:p w14:paraId="0668A51A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</w:p>
    <w:p w14:paraId="77927E4E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20/12/2022 – pp. 73 a 84</w:t>
      </w:r>
    </w:p>
    <w:p w14:paraId="4A046874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</w:p>
    <w:p w14:paraId="2627F632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77. Consulte</w:t>
      </w:r>
    </w:p>
    <w:p w14:paraId="661C9DA6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78. Consulte</w:t>
      </w:r>
    </w:p>
    <w:p w14:paraId="72D8E010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79. Consulte</w:t>
      </w:r>
    </w:p>
    <w:p w14:paraId="0518C233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80. Consulte</w:t>
      </w:r>
    </w:p>
    <w:p w14:paraId="21DEBFB9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81. Consulte</w:t>
      </w:r>
    </w:p>
    <w:p w14:paraId="796DE196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82. Consulte</w:t>
      </w:r>
    </w:p>
    <w:p w14:paraId="07743F57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83. Consulte</w:t>
      </w:r>
    </w:p>
    <w:p w14:paraId="11AEAC39" w14:textId="77777777" w:rsidR="00790EC0" w:rsidRDefault="00790EC0" w:rsidP="00790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84. Consulte</w:t>
      </w:r>
    </w:p>
    <w:p w14:paraId="7F780A2E" w14:textId="7511C259" w:rsidR="00403E93" w:rsidRPr="00790EC0" w:rsidRDefault="00403E93" w:rsidP="00790EC0">
      <w:pPr>
        <w:spacing w:after="0"/>
        <w:jc w:val="both"/>
        <w:rPr>
          <w:rFonts w:ascii="Arial" w:hAnsi="Arial" w:cs="Arial"/>
        </w:rPr>
      </w:pPr>
    </w:p>
    <w:sectPr w:rsidR="00403E93" w:rsidRPr="00790EC0" w:rsidSect="00790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0"/>
    <w:rsid w:val="00403E93"/>
    <w:rsid w:val="007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E5B5"/>
  <w15:chartTrackingRefBased/>
  <w15:docId w15:val="{6BC70336-904C-457F-932B-8F75844C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0EC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9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.prefeitura.sp.gov.br/certidoes/forms_anonimo/frmConsultaEmissaoCertificado.aspx" TargetMode="External"/><Relationship Id="rId13" Type="http://schemas.openxmlformats.org/officeDocument/2006/relationships/hyperlink" Target="https://www.cadesp.fazenda.sp.gov.br/(S(jonmjrhabxhuz01c1fqwwrds))/Pages/Cadastro/Certidoes/ConsultaCertidaoNaoInscrito.aspx" TargetMode="External"/><Relationship Id="rId18" Type="http://schemas.openxmlformats.org/officeDocument/2006/relationships/hyperlink" Target="https://portaldatransparencia.gov.br/sancoes/consulta?ordenarPor=nomeSancionado&amp;direcao=a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mecoservuniformematerial@sme.prefeitura.sp.gov.br" TargetMode="External"/><Relationship Id="rId7" Type="http://schemas.openxmlformats.org/officeDocument/2006/relationships/hyperlink" Target="http://www.receita.fazenda.gov.br/pessoajuridica/cnpj/cnpjreva/cnpjreva_solicitacao.asp" TargetMode="External"/><Relationship Id="rId12" Type="http://schemas.openxmlformats.org/officeDocument/2006/relationships/hyperlink" Target="http://www3.prefeitura.sp.gov.br/cadin/pesq_deb.aspx" TargetMode="External"/><Relationship Id="rId17" Type="http://schemas.openxmlformats.org/officeDocument/2006/relationships/hyperlink" Target="https://www.cnj.jus.br/improbidade_adm/consultar_requerido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ce.sp.gov.br/pesquisa-relacao-apenados" TargetMode="External"/><Relationship Id="rId20" Type="http://schemas.openxmlformats.org/officeDocument/2006/relationships/hyperlink" Target="https://educacao.sme.prefeitura.sp.gov.br/portaldomaterialescolar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cao.sme.prefeitura.sp.gov.br/portaldomaterialescolar" TargetMode="External"/><Relationship Id="rId11" Type="http://schemas.openxmlformats.org/officeDocument/2006/relationships/hyperlink" Target="http://www.tst.jus.br/certida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cacao.sme.prefeitura.sp.gov.br/portaldomaterialescolar" TargetMode="External"/><Relationship Id="rId15" Type="http://schemas.openxmlformats.org/officeDocument/2006/relationships/hyperlink" Target="https://www.dividaativa.pge.sp.gov.br/sc/pages/crda/emitirCrda.jsf?param=794666" TargetMode="External"/><Relationship Id="rId23" Type="http://schemas.openxmlformats.org/officeDocument/2006/relationships/hyperlink" Target="mailto:smecoservduniformematerial@sme.prefeitura.sp.gov.br" TargetMode="External"/><Relationship Id="rId10" Type="http://schemas.openxmlformats.org/officeDocument/2006/relationships/hyperlink" Target="https://consultacrf.caixa.gov.br/consultacrf/pages/consultaEmpregador.jsf" TargetMode="External"/><Relationship Id="rId19" Type="http://schemas.openxmlformats.org/officeDocument/2006/relationships/hyperlink" Target="https://contas.tcu.gov.br/ords/f?p=INABILITADO:CERTIDAO:0" TargetMode="External"/><Relationship Id="rId4" Type="http://schemas.openxmlformats.org/officeDocument/2006/relationships/hyperlink" Target="https://educacao.sme.prefeitura.sp.gov.br/portaldomaterialescolar" TargetMode="External"/><Relationship Id="rId9" Type="http://schemas.openxmlformats.org/officeDocument/2006/relationships/hyperlink" Target="https://servicos.receita.fazenda.gov.br/Servicos/certidaointernet/PJ/Emitir" TargetMode="External"/><Relationship Id="rId14" Type="http://schemas.openxmlformats.org/officeDocument/2006/relationships/hyperlink" Target="https://ccm.prefeitura.sp.gov.br/login/contribuinte?tipo=F" TargetMode="External"/><Relationship Id="rId22" Type="http://schemas.openxmlformats.org/officeDocument/2006/relationships/hyperlink" Target="https://sp156.prefeitura.sp.gov.br/portal/servicos/informacao?servico=36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4842</Words>
  <Characters>26153</Characters>
  <Application>Microsoft Office Word</Application>
  <DocSecurity>0</DocSecurity>
  <Lines>217</Lines>
  <Paragraphs>61</Paragraphs>
  <ScaleCrop>false</ScaleCrop>
  <Company/>
  <LinksUpToDate>false</LinksUpToDate>
  <CharactersWithSpaces>30934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2022-12-20T10:02:00Z</dcterms:created>
  <dcterms:modified xsi:type="dcterms:W3CDTF">2022-12-20T10:06:00Z</dcterms:modified>
</cp:coreProperties>
</file>