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B9C3" w14:textId="3455D9E7" w:rsidR="00311954" w:rsidRDefault="00311954" w:rsidP="0031195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25/08/2022 - </w:t>
      </w:r>
      <w:r>
        <w:rPr>
          <w:rFonts w:ascii="Arial" w:hAnsi="Arial" w:cs="Arial"/>
        </w:rPr>
        <w:t>pp. 119 e 120</w:t>
      </w:r>
    </w:p>
    <w:p w14:paraId="5C953707" w14:textId="77777777" w:rsidR="00311954" w:rsidRDefault="00311954" w:rsidP="00311954">
      <w:pPr>
        <w:spacing w:after="0"/>
        <w:jc w:val="both"/>
        <w:rPr>
          <w:rFonts w:ascii="Arial" w:hAnsi="Arial" w:cs="Arial"/>
        </w:rPr>
      </w:pPr>
    </w:p>
    <w:p w14:paraId="5F6E553D" w14:textId="636CE5A7" w:rsidR="00311954" w:rsidRDefault="00311954" w:rsidP="00311954">
      <w:pPr>
        <w:spacing w:after="0"/>
        <w:jc w:val="both"/>
        <w:rPr>
          <w:rFonts w:ascii="Arial" w:hAnsi="Arial" w:cs="Arial"/>
          <w:b/>
          <w:bCs/>
        </w:rPr>
      </w:pPr>
      <w:r w:rsidRPr="00E201A6">
        <w:rPr>
          <w:rFonts w:ascii="Arial" w:hAnsi="Arial" w:cs="Arial"/>
          <w:b/>
          <w:bCs/>
        </w:rPr>
        <w:t>PARECER N° 945/2022 DA COMISSÃO DE EDUCAÇÃO, CULTURA E ESPORTES SOBRE O PROJETO DE LEI N° 573/2021.</w:t>
      </w:r>
    </w:p>
    <w:p w14:paraId="63B316E6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b/>
          <w:bCs/>
        </w:rPr>
      </w:pPr>
    </w:p>
    <w:p w14:paraId="26C8F87A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Trata-se de Projeto de Lei 573/21, cujo conteúdo “</w:t>
      </w:r>
      <w:r w:rsidRPr="00E201A6">
        <w:rPr>
          <w:rFonts w:ascii="Arial" w:hAnsi="Arial" w:cs="Arial"/>
          <w:b/>
          <w:bCs/>
          <w:i/>
          <w:iCs/>
        </w:rPr>
        <w:t>Autoriza o Poder Executivo a implementar o sistema de gestão compartilhada, em escolas de ensino fundamental e médio da rede pública municipal de ensino em parceria com organizações da sociedade civil sem fins lucrativos e dá outras providências”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apresentado pelos Vereadores Cris Monteiro (NOVO); Sandra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Santana (PSDB) e Rubinho Nunes (UNIÃO).</w:t>
      </w:r>
    </w:p>
    <w:p w14:paraId="06F128B4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Apesar de não citado pela Comissão de Constituição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Justiça, importante ressaltar, de antemão, que o presente PL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desrespeita inúmeras normativas legais e constitucionais, as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quais serão tratadas ao longo deste parecer, além das questões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de mérito, sendo elas, entre outras: </w:t>
      </w:r>
      <w:proofErr w:type="spellStart"/>
      <w:r w:rsidRPr="00E201A6">
        <w:rPr>
          <w:rFonts w:ascii="Arial" w:hAnsi="Arial" w:cs="Arial"/>
        </w:rPr>
        <w:t>arts</w:t>
      </w:r>
      <w:proofErr w:type="spellEnd"/>
      <w:r w:rsidRPr="00E201A6">
        <w:rPr>
          <w:rFonts w:ascii="Arial" w:hAnsi="Arial" w:cs="Arial"/>
        </w:rPr>
        <w:t>. 37, II e 206, I, VI, VII,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CF; art. 115, II, da Constituição do Estado de São Paulo; </w:t>
      </w:r>
      <w:proofErr w:type="spellStart"/>
      <w:r w:rsidRPr="00E201A6">
        <w:rPr>
          <w:rFonts w:ascii="Arial" w:hAnsi="Arial" w:cs="Arial"/>
        </w:rPr>
        <w:t>arts</w:t>
      </w:r>
      <w:proofErr w:type="spellEnd"/>
      <w:r w:rsidRPr="00E201A6">
        <w:rPr>
          <w:rFonts w:ascii="Arial" w:hAnsi="Arial" w:cs="Arial"/>
        </w:rPr>
        <w:t>. 3º,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I, IX; 14, I; 26, caput, da LDB (Lei de Diretrizes e Bases da Educação Nacional); Objetivo 4 dos Objetivos de Desenvolvimento</w:t>
      </w:r>
    </w:p>
    <w:p w14:paraId="6CB346B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Sustentável das Nações Unidas; art. 9º, PNE (Plano Nacional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Educação); meta 12.10 do PME (Plano Municipal de Educação)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 Lei Municipal nº 14.660/07, que disciplina os Quadros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Profissionais da Educação Municipal.</w:t>
      </w:r>
    </w:p>
    <w:p w14:paraId="34AC1B8B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Conforme parecer da Comissão supramencionada, importante citar a obrigatoriedade, com prévia e ampla publicidade,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 realização de pelo menos duas audiências públicas durante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 trâmite do presente Projeto, conforme art. 41, XI, da Lei Orgânica do Município, ainda não realizadas.</w:t>
      </w:r>
    </w:p>
    <w:p w14:paraId="49A96728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justificativa do Projeto de Lei parte da falsa premissa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uma suposta falta de qualificação dos diretores escolares,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nos seguintes termos "há dúvidas se o processo de eleição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indicação mais usados atualmente para preenchimento 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cargo garante a escolha de um representante que saiba de fato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acompanhar os processos de ensino e de gerência de recursos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humanos e financeiros, por exemplo".</w:t>
      </w:r>
    </w:p>
    <w:p w14:paraId="02E74433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Nota-se o total desconhecimento do funcionamento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rede municipal de educação. Na rede municipal de educação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São Paulo não existe essa figura da eleição (salvo em situações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substituição temporária com eleição feita pelo conselho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escola nos termos da legislação) ou indicação política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diretores, estes são nomeados mediante concurso público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acesso e, para assumir a vaga, é necessário comprovar tempo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magistério e no mínimo três anos de experiência no magistério público municipal, dessa forma garantindo que o candidato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foi aprovado no concurso público também comprove sua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experiência na rede municipal, logo estapafúrdia essa justificativa que embasa a tese da terceirização da gestão das unidades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escolares.</w:t>
      </w:r>
    </w:p>
    <w:p w14:paraId="7D3003C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Em contrapartida, os diretores das </w:t>
      </w:r>
      <w:proofErr w:type="spellStart"/>
      <w:r w:rsidRPr="00E201A6">
        <w:rPr>
          <w:rFonts w:ascii="Arial" w:hAnsi="Arial" w:cs="Arial"/>
        </w:rPr>
        <w:t>OSCs</w:t>
      </w:r>
      <w:proofErr w:type="spellEnd"/>
      <w:r w:rsidRPr="00E201A6">
        <w:rPr>
          <w:rFonts w:ascii="Arial" w:hAnsi="Arial" w:cs="Arial"/>
        </w:rPr>
        <w:t xml:space="preserve"> são indicados pela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própria OSC, sem participação comunitária, ferindo o art. 206,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VI, CF e art. 3, VIII, da Lei 9.394/96 (Lei de Diretrizes e Bases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 Educação (LDB)) os quais garantem a gestão democrática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do ensino público.</w:t>
      </w:r>
    </w:p>
    <w:p w14:paraId="360D2244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Quanto à qualidade da educação, o Projeto de Lei, como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norma geral e abstrata, não indica qual seria a definição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qualidade do ensino proposta ou em quais autores e análises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educacionais seriam baseadas as metas do ensino, para garantia de sua qualidade.</w:t>
      </w:r>
    </w:p>
    <w:p w14:paraId="30E84DC4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Eis que tal conceito na literatura acadêmica contempla um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amplo rol de concepções que podem partir de um caráter mais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subjetivo até parâmetros quantitativos personificados por meio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indicadores diversos.</w:t>
      </w:r>
    </w:p>
    <w:p w14:paraId="5AFC217B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Que conceitos, representações ou concepções sinalizam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uma escola de qualidade? Quais são os principais conceitos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definições que embasam os estudos, as práticas e as políticas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educativas, bem como as dimensões e os fatores que apontam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construção de uma educação de qualidade? É possível uma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escola de qualidade para todos? Tais questões revelam a complexidade da temática da qualidade no campo educativo.</w:t>
      </w:r>
    </w:p>
    <w:p w14:paraId="159D5E40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Qualidade da Educação: Perspectivas e Desafios. Dourado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 Oliveira.</w:t>
      </w:r>
    </w:p>
    <w:p w14:paraId="51358CAC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Como exemplos de gestão entregues às Organizações Sociais, os autores do Projeto de Lei citam as "2.057 creches conveniadas, ou seja, organizações sociais que recebem recurso público para </w:t>
      </w:r>
      <w:r w:rsidRPr="00E201A6">
        <w:rPr>
          <w:rFonts w:ascii="Arial" w:hAnsi="Arial" w:cs="Arial"/>
        </w:rPr>
        <w:lastRenderedPageBreak/>
        <w:t>gerir o funcionamento dos equipamentos de primeira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infância como forma de garantir o acesso público, gratuito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 mais qualidade à população" no Município de São Paulo.</w:t>
      </w:r>
    </w:p>
    <w:p w14:paraId="0E62910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Conforme art. 5º do PL em questão, o programa ocorrerá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prioritariamente na estrutura dos equipamentos públicos escolares municipais já existentes, não se eximindo a possibilidade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utilização de equipamentos públicos a serem inaugurados.</w:t>
      </w:r>
    </w:p>
    <w:p w14:paraId="7661AA21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Um ponto a se destacar nesse trecho diz respeito à prioridade de utilização de equipamentos públicos escolares já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existentes ou que vierem a ser inaugurados. Nesse ponto, diferentemente dos termos de colaboração e parceria na Educação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Infantil em que as organizações da sociedade civil implantam</w:t>
      </w:r>
    </w:p>
    <w:p w14:paraId="1BC89ADE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equipamentos de educação em localidades a priori carentes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atuação educacional estatal, o projeto em tela propõe a utilização de equipamentos públicos já instalados nos territórios.</w:t>
      </w:r>
    </w:p>
    <w:p w14:paraId="79E9F94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Resta elucidar se o projeto abre a possibilidade da implantação de equipamentos não públicos geridos pelas organizações da sociedade civil sem fins lucrativos. Esse último aspecto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remonta ao modelo dos CEIs conveniados da rede municipal.</w:t>
      </w:r>
    </w:p>
    <w:p w14:paraId="200C452D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Destacamos que há muitos pontos negativos no atendimento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feito pelas OSC, um deles é quando há irregularidades comprovadas, levando ao descredenciamento, o atendimento do bebê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 da criança é descontinuado e os professores desligados, perdendo todo o vínculo da criança com o educador e deixando 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funcionários inseguros em relação aos seus direitos trabalhistas.</w:t>
      </w:r>
    </w:p>
    <w:p w14:paraId="11C68DEA" w14:textId="77777777" w:rsidR="00311954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É necessário ressaltar que as medidas iniciais que justificaram a abertura dos CEIs conveniados deram-se devido à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falta de priorização política, omissão de comprometimento dos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governos com a primeiríssima infância e ausência de planejamento estratégico de políticas de garantia do direito à educação, o que ocasionou uma demanda muito alta reprimida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nesse contexto político, por excepcionalidade optou-se por esse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modelo considerando a falta de tempo hábil para construção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prédios públicos para atender a demanda.</w:t>
      </w:r>
    </w:p>
    <w:p w14:paraId="093F1730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Hoje nota-se que esse sistema está de tal forma enraizado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o que era de caráter excepcional, tornou-se não apenas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regra, mas quase sete vezes maior em termos quantitativos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quando comparamos a quantidade de CEIs da rede parceira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 a rede direta. Contudo, ressalta-se que a procura e espera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por vagas na rede direta é enorme, pois os responsáveis entendem que na rede direta as crianças têm maior apoio pedagógico, os conselhos de escola fazem uma grande diferença na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qualidade das unidades e os espaços físicos são garantidos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pensados para a primeira infância. O que não ocorre na maioria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das unidades conveniadas, que são casas adaptadas para 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atendimento, muitas vezes sem parque externo e até mesmo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sem boa ventilação nas salas. Ainda há que se destacar que não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existe conselho de escola nos CEIs da rede parceira, o que viola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 princípio da gestão democrática.</w:t>
      </w:r>
    </w:p>
    <w:p w14:paraId="5469435C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Neste diapasão, de acordo com auditoria realizada pelo Tribunal de Contas do Município de São Paulo nº 1.458/21, o qual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avaliou "se a Rede Municipal de Ensino de São Paulo (RME-SP)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tem propiciado aos bebês e crianças as condições necessárias 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seu desenvolvimento, examinando aspectos sensíveis à oferta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ensino de qualidade nos Centros de Educação Infantil" no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período de 01.04.2020 a 19.02.2021, a utilização de convênios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para a oferta da educação obrigatória, pública e de qualidade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mostra-se ineficaz.</w:t>
      </w:r>
    </w:p>
    <w:p w14:paraId="6549FFBB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Os dados divulgados quanto à gestão escolar por parte das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conveniadas, atualmente chamadas de "unidades parceiras"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são alarmantes, citando-se apenas alguns:</w:t>
      </w:r>
    </w:p>
    <w:p w14:paraId="62E4849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- 78,3% das unidades sorteadas da rede parceira não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possuíam profissionais treinados e destinados especialmente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à inclusão das crianças com deficiências, não obstante grande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parte dessas escolas (81,8% da rede direta e 65,2% da rede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parceira) tinham ao menos um bebê ou criança com deficiência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matriculado em 2020;</w:t>
      </w:r>
    </w:p>
    <w:p w14:paraId="73BEB47F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- 46,2% dos CEIs diretos da amostra não contavam com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sanitários para pessoas com deficiência em suas dependências,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ante 88,5% dos CEIs parceiros;</w:t>
      </w:r>
    </w:p>
    <w:p w14:paraId="761F55B5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até</w:t>
      </w:r>
      <w:proofErr w:type="gramEnd"/>
      <w:r w:rsidRPr="00E201A6">
        <w:rPr>
          <w:rFonts w:ascii="Arial" w:hAnsi="Arial" w:cs="Arial"/>
        </w:rPr>
        <w:t xml:space="preserve"> o fechamento desse relatório somente as unidades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da rede direta dispunham de </w:t>
      </w:r>
      <w:proofErr w:type="spellStart"/>
      <w:r w:rsidRPr="00E201A6">
        <w:rPr>
          <w:rFonts w:ascii="Arial" w:hAnsi="Arial" w:cs="Arial"/>
        </w:rPr>
        <w:t>AVEs</w:t>
      </w:r>
      <w:proofErr w:type="spellEnd"/>
      <w:r w:rsidRPr="00E201A6">
        <w:rPr>
          <w:rFonts w:ascii="Arial" w:hAnsi="Arial" w:cs="Arial"/>
        </w:rPr>
        <w:t>, a despeito de previsão 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Decreto Municipal nº 57.379/2019, em seu art. 21, da atuação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desses profissionais junto a todos os educandos que necessitarem de auxílio dessa natureza, independentemente de 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unidade ser direta ou parceira;</w:t>
      </w:r>
    </w:p>
    <w:p w14:paraId="2B27FE69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lastRenderedPageBreak/>
        <w:t xml:space="preserve">- </w:t>
      </w:r>
      <w:proofErr w:type="gramStart"/>
      <w:r w:rsidRPr="00E201A6">
        <w:rPr>
          <w:rFonts w:ascii="Arial" w:hAnsi="Arial" w:cs="Arial"/>
        </w:rPr>
        <w:t>registro</w:t>
      </w:r>
      <w:proofErr w:type="gramEnd"/>
      <w:r w:rsidRPr="00E201A6">
        <w:rPr>
          <w:rFonts w:ascii="Arial" w:hAnsi="Arial" w:cs="Arial"/>
        </w:rPr>
        <w:t xml:space="preserve"> de itens básicos de infraestrutura menos encontrados nas salas de atividades, quais sejam: janelas na altura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das crianças (25%), mobiliário adequado (37%), acesso à área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externa (48%) e espelho amplo na altura das crianças (49%);</w:t>
      </w:r>
    </w:p>
    <w:p w14:paraId="3857CD26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das</w:t>
      </w:r>
      <w:proofErr w:type="gramEnd"/>
      <w:r w:rsidRPr="00E201A6">
        <w:rPr>
          <w:rFonts w:ascii="Arial" w:hAnsi="Arial" w:cs="Arial"/>
        </w:rPr>
        <w:t xml:space="preserve"> onze oportunidades de aprendizagem avaliadas, em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oito as práticas pedagógicas qualificadas foram adotadas mais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em turmas dos CEIs diretos do que dos CEIs parceiros, sendo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em alguns casos, a diferença foi de mais de 20 pontos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percentuais (noções de número, espaço, tempo e suas relações,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práticas de oralidade e brincadeira livre). Assim, constata-se,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 base na avaliação MELE (</w:t>
      </w:r>
      <w:proofErr w:type="spellStart"/>
      <w:r w:rsidRPr="00E201A6">
        <w:rPr>
          <w:rFonts w:ascii="Arial" w:hAnsi="Arial" w:cs="Arial"/>
        </w:rPr>
        <w:t>Measuring</w:t>
      </w:r>
      <w:proofErr w:type="spellEnd"/>
      <w:r w:rsidRPr="00E201A6">
        <w:rPr>
          <w:rFonts w:ascii="Arial" w:hAnsi="Arial" w:cs="Arial"/>
        </w:rPr>
        <w:t xml:space="preserve"> Early Learning </w:t>
      </w:r>
      <w:proofErr w:type="spellStart"/>
      <w:r w:rsidRPr="00E201A6">
        <w:rPr>
          <w:rFonts w:ascii="Arial" w:hAnsi="Arial" w:cs="Arial"/>
        </w:rPr>
        <w:t>Environment</w:t>
      </w:r>
      <w:proofErr w:type="spellEnd"/>
      <w:r w:rsidRPr="00E201A6">
        <w:rPr>
          <w:rFonts w:ascii="Arial" w:hAnsi="Arial" w:cs="Arial"/>
        </w:rPr>
        <w:t xml:space="preserve"> – Medindo Ambiente de Aprendizagem Inicial),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os bebês e crianças matriculados nos CEIs parceiros têm menos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chance de estar em uma unidade com essas práticas pedagógicas qualificadas;</w:t>
      </w:r>
    </w:p>
    <w:p w14:paraId="1B65FDD4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enquanto</w:t>
      </w:r>
      <w:proofErr w:type="gramEnd"/>
      <w:r w:rsidRPr="00E201A6">
        <w:rPr>
          <w:rFonts w:ascii="Arial" w:hAnsi="Arial" w:cs="Arial"/>
        </w:rPr>
        <w:t xml:space="preserve"> mais da metade (54,5%) dos diretores da rede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direta concluíram cursos de especialização – além dos 9,1%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 título de mestrado –, mais de 60% dos que atuam nos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CEIs parceiros sorteados declararam contar somente com nível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superior completo (graduação);</w:t>
      </w:r>
    </w:p>
    <w:p w14:paraId="32C76B6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enquanto</w:t>
      </w:r>
      <w:proofErr w:type="gramEnd"/>
      <w:r w:rsidRPr="00E201A6">
        <w:rPr>
          <w:rFonts w:ascii="Arial" w:hAnsi="Arial" w:cs="Arial"/>
        </w:rPr>
        <w:t xml:space="preserve"> todos os CEIs diretos da amostra contavam com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APM (Associação de Pais e Mestres), somente dois CEIs parceiros (8,7%) dispunham de associação constituída;</w:t>
      </w:r>
    </w:p>
    <w:p w14:paraId="276F5F60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foram</w:t>
      </w:r>
      <w:proofErr w:type="gramEnd"/>
      <w:r w:rsidRPr="00E201A6">
        <w:rPr>
          <w:rFonts w:ascii="Arial" w:hAnsi="Arial" w:cs="Arial"/>
        </w:rPr>
        <w:t xml:space="preserve"> detectados CEIs da rede parceira sem qualquer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ambiente interno para recreação (57,7% das escolas parceiras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sorteadas estavam nessa situação), além das próprias salas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aula, tampouco áreas externas descobertas ou arbóreas para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propiciar contato dos bebês e crianças com a natureza (30,8%),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 que contraria o disposto nos Padrões Básicos de Qualidade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não segue cláusula do Termo de Acordo Judicial (TAJ), assinado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em 14/09/2017 (processo nº 0150735- 64.2008.8.26.0002 –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peça 31). 84,6% (onze dentre os treze CEIs diretos e 22 dentre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os 26 parceiros) não possuíam salas de recreação ou de vídeo à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disposição dos bebês e crianças;</w:t>
      </w:r>
    </w:p>
    <w:p w14:paraId="76AAB85E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em</w:t>
      </w:r>
      <w:proofErr w:type="gramEnd"/>
      <w:r w:rsidRPr="00E201A6">
        <w:rPr>
          <w:rFonts w:ascii="Arial" w:hAnsi="Arial" w:cs="Arial"/>
        </w:rPr>
        <w:t xml:space="preserve"> relação a área construída por aluno, 15,4% dos CEIs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diretos e de 23,1% dos parceiros (da amostra) está abaixo 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índice “projetos padrão” do FNDE adotado como critério;</w:t>
      </w:r>
    </w:p>
    <w:p w14:paraId="0E6FEDD4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- </w:t>
      </w:r>
      <w:proofErr w:type="gramStart"/>
      <w:r w:rsidRPr="00E201A6">
        <w:rPr>
          <w:rFonts w:ascii="Arial" w:hAnsi="Arial" w:cs="Arial"/>
        </w:rPr>
        <w:t>seis</w:t>
      </w:r>
      <w:proofErr w:type="gramEnd"/>
      <w:r w:rsidRPr="00E201A6">
        <w:rPr>
          <w:rFonts w:ascii="Arial" w:hAnsi="Arial" w:cs="Arial"/>
        </w:rPr>
        <w:t xml:space="preserve"> CEIs (ou 46,2%) da amostra da rede direta e 20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(ou 76,9%) da parceira não dispunham de sala de trocador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(fraldário);</w:t>
      </w:r>
    </w:p>
    <w:p w14:paraId="7703A545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Ressaltamos novamente que, enquanto 100% dos </w:t>
      </w:r>
      <w:proofErr w:type="spellStart"/>
      <w:r w:rsidRPr="00E201A6">
        <w:rPr>
          <w:rFonts w:ascii="Arial" w:hAnsi="Arial" w:cs="Arial"/>
        </w:rPr>
        <w:t>Ceis</w:t>
      </w:r>
      <w:proofErr w:type="spellEnd"/>
      <w:r w:rsidRPr="00E201A6">
        <w:rPr>
          <w:rFonts w:ascii="Arial" w:hAnsi="Arial" w:cs="Arial"/>
        </w:rPr>
        <w:t xml:space="preserve">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rede direta possuem Conselho de Escola com a participação ativa de toda comunidade escolar na gestão pedagógica, financeira e administrativa, 0% dos </w:t>
      </w:r>
      <w:proofErr w:type="spellStart"/>
      <w:r w:rsidRPr="00E201A6">
        <w:rPr>
          <w:rFonts w:ascii="Arial" w:hAnsi="Arial" w:cs="Arial"/>
        </w:rPr>
        <w:t>Ceis</w:t>
      </w:r>
      <w:proofErr w:type="spellEnd"/>
      <w:r w:rsidRPr="00E201A6">
        <w:rPr>
          <w:rFonts w:ascii="Arial" w:hAnsi="Arial" w:cs="Arial"/>
        </w:rPr>
        <w:t xml:space="preserve"> da rede parceira apresentam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esse instrumento colegiado da gestão democrática constituído.</w:t>
      </w:r>
    </w:p>
    <w:p w14:paraId="61E83E4D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partir dos dados concretos, conclui-se que, longe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aprimorar a gestão da educação, a parceria com organizações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sociais resulta em precariedade da educação e a consequente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diminuição de sua qualidade, descumprindo o Objetivo 04 dos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Objetivos de Desenvolvimento Sustentável das Nações Unidas,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documento no qual o Brasil é signatário e que coloca como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meta nacional "assegurar a educação inclusiva, equitativa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qualidade, e promover oportunidades de aprendizagem ao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longo da vida para todos".</w:t>
      </w:r>
    </w:p>
    <w:p w14:paraId="25AB0217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Levando-se em consideração, como já demonstrado, de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terceirização afeta diretamente a qualidade da educação pública e gratuita, ao ser implementada nos moldes do art. 4º 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PL, dando-se prioridade aos bairros com menores indicadores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Desenvolvimento Humano e com menores níveis de avaliação escolar, conclui-se que as crianças e adolescentes em maior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vulnerabilidade social serão os mais prejudicados pela medida,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aumentando-se a desigualdade educacional e contrariando 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garantia de ensino com padrão de qualidade de forma equitativa para todos, descrita em art. 3º, I e IX, da LDB.</w:t>
      </w:r>
    </w:p>
    <w:p w14:paraId="2C7BF856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Nota-se que há um perigo real de aprovar uma mudança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tão significativa na administração das escolas baseados num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modelo que não se preocupa com a inclusão, podendo aumentar ainda mais o abismo social e excludente que os alunos das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escolas públicas já estão expostos cotidianamente.</w:t>
      </w:r>
    </w:p>
    <w:p w14:paraId="2AF2B5C3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Quanto aos princípios, objetivos e obrigações evocados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pelo PL em comento, descritos nos </w:t>
      </w:r>
      <w:proofErr w:type="spellStart"/>
      <w:r w:rsidRPr="00E201A6">
        <w:rPr>
          <w:rFonts w:ascii="Arial" w:hAnsi="Arial" w:cs="Arial"/>
        </w:rPr>
        <w:t>arts</w:t>
      </w:r>
      <w:proofErr w:type="spellEnd"/>
      <w:r w:rsidRPr="00E201A6">
        <w:rPr>
          <w:rFonts w:ascii="Arial" w:hAnsi="Arial" w:cs="Arial"/>
        </w:rPr>
        <w:t>. 6º, 7º e 8º, nada trazem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inovador quanto ao já estabelecido em normativas, planos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 currículos norteadores da educação pública existentes, com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exceção do foco na parceria com organizações sociais.</w:t>
      </w:r>
    </w:p>
    <w:p w14:paraId="3C33CE5C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lastRenderedPageBreak/>
        <w:t>Ao mencionar a forma de atratividade para as organizações sociais participarem da gestão compartilhada por meio 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denominado “investimento social privado” (art. 7, II), não há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especificação sobre se é uma referência a valores monetários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ou qual seria o mecanismo que o Estado teria que ofertar para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conseguir obter o empenho da sociedade civil organizada,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sendo norma extremamente genérica, com lacuna que deve ser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preenchida de acordo com as leis federais 13.019/14 (MROSC)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9.666/95 (Lei de Licitações).</w:t>
      </w:r>
      <w:r>
        <w:rPr>
          <w:rFonts w:ascii="Arial" w:hAnsi="Arial" w:cs="Arial"/>
        </w:rPr>
        <w:t xml:space="preserve"> </w:t>
      </w:r>
    </w:p>
    <w:p w14:paraId="2A807511" w14:textId="77777777" w:rsidR="00311954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Já o artigo 9º menciona as normativas jurídicas que servem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base para o programa de gestão compartilhada, sendo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estas a Lei Federal nº 13.019/2014, citada acima, e o Decreto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Municipal nº 57.575/2016, que dispõe sobre o regime jurídico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das parcerias entre a administração pública e as organizações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 sociedade civil nas esferas federal e municipal, novamente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citando de forma genérica como será a relação de contratação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dessas organizações.</w:t>
      </w:r>
    </w:p>
    <w:p w14:paraId="1D17D84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Ao descrever de forma genérica as formas de contratação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uso do erário pelas Organizações Sociais, facilita-se que outros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casos de desvio de verbas públicas, como o que ocorreu na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amplamente noticiada “Máfia das Creches”, que desviou ao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menos R$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14.000.000,00 (quatorze milhões de </w:t>
      </w:r>
      <w:proofErr w:type="gramStart"/>
      <w:r w:rsidRPr="00E201A6">
        <w:rPr>
          <w:rFonts w:ascii="Arial" w:hAnsi="Arial" w:cs="Arial"/>
        </w:rPr>
        <w:t>reais)*</w:t>
      </w:r>
      <w:proofErr w:type="gramEnd"/>
      <w:r w:rsidRPr="00E201A6">
        <w:rPr>
          <w:rFonts w:ascii="Arial" w:hAnsi="Arial" w:cs="Arial"/>
        </w:rPr>
        <w:t xml:space="preserve"> venham 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acontecer, agora no ensino fundamental e médio.</w:t>
      </w:r>
    </w:p>
    <w:p w14:paraId="36D00F9A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O artigo 10 prevê que "as organizações sociais terão liberdade para estruturar a matriz curricular, o projeto político pedagógico, as metodologias de ensino e organização escolar, assim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como os materiais pedagógicos da escola assistida desde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aprovados previamente pela Secretaria Municipal de Educação,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assim como estabelecer a carga horária da escola assistida desde que </w:t>
      </w:r>
      <w:proofErr w:type="gramStart"/>
      <w:r w:rsidRPr="00E201A6">
        <w:rPr>
          <w:rFonts w:ascii="Arial" w:hAnsi="Arial" w:cs="Arial"/>
        </w:rPr>
        <w:t>obedeça o</w:t>
      </w:r>
      <w:proofErr w:type="gramEnd"/>
      <w:r w:rsidRPr="00E201A6">
        <w:rPr>
          <w:rFonts w:ascii="Arial" w:hAnsi="Arial" w:cs="Arial"/>
        </w:rPr>
        <w:t xml:space="preserve"> mínimo previsto nas legislações referentes".</w:t>
      </w:r>
    </w:p>
    <w:p w14:paraId="66F3668D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Segundo art. 26, caput, LDB, a base curricular será comum,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devendo ser complementada de acordo com as especificidades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cada estabelecimento escolar.</w:t>
      </w:r>
    </w:p>
    <w:p w14:paraId="22B226BC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Art. 26. Os currículos da educação infantil, do ensino fundamental e do ensino médio devem ter base nacional comum,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ser complementada, em cada sistema de ensino e em cada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estabelecimento escolar, por uma parte diversificada, exigida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pelas características regionais e locais da sociedade, da cultura,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 economia e dos educandos.</w:t>
      </w:r>
    </w:p>
    <w:p w14:paraId="2784C946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Como forma de alcançar a interlocução entre realidade local e conhecimento, o Plano Municipal de Educação (PME </w:t>
      </w:r>
      <w:r>
        <w:rPr>
          <w:rFonts w:ascii="Arial" w:hAnsi="Arial" w:cs="Arial"/>
        </w:rPr>
        <w:t>–</w:t>
      </w:r>
      <w:r w:rsidRPr="00E201A6">
        <w:rPr>
          <w:rFonts w:ascii="Arial" w:hAnsi="Arial" w:cs="Arial"/>
        </w:rPr>
        <w:t xml:space="preserve"> Lei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Municipal 16.271/15) dispõe como meta a participação de toda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comunidade escolar na formulação e avaliação do Projeto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Político Pedagógico, currículo escolar, plano de gestão escolar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 regimento escolar:</w:t>
      </w:r>
    </w:p>
    <w:p w14:paraId="2C2A4724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12.10. Garantir no sistema municipal de ensino a participação e a consulta de profissionais da educação, educandos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seus familiares na formulação e avaliação do Projeto Político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Pedagógico da escola, currículos escolares, plano de gestão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escolar e regimento escolar.</w:t>
      </w:r>
    </w:p>
    <w:p w14:paraId="6CF7F935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gestão democrática para elaboração do projeto pedagógico também é prevista no art. 14, I, LDB:</w:t>
      </w:r>
    </w:p>
    <w:p w14:paraId="00204AE3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Art. 14. Os sistemas de ensino definirão as normas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gestão democrática do ensino público na educação básica,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acordo com as suas peculiaridades e conforme os seguintes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princípios:</w:t>
      </w:r>
    </w:p>
    <w:p w14:paraId="71E597D7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I - </w:t>
      </w:r>
      <w:proofErr w:type="gramStart"/>
      <w:r w:rsidRPr="00E201A6">
        <w:rPr>
          <w:rFonts w:ascii="Arial" w:hAnsi="Arial" w:cs="Arial"/>
        </w:rPr>
        <w:t>participação</w:t>
      </w:r>
      <w:proofErr w:type="gramEnd"/>
      <w:r w:rsidRPr="00E201A6">
        <w:rPr>
          <w:rFonts w:ascii="Arial" w:hAnsi="Arial" w:cs="Arial"/>
        </w:rPr>
        <w:t xml:space="preserve"> dos profissionais da educação na elaboração do projeto pedagógico da escola;</w:t>
      </w:r>
    </w:p>
    <w:p w14:paraId="0FFF07D9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Tendo estas normativas em vista, a Secretaria Municipal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Educação estabelece seu currículo e objetivos de ensino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baseando-se em ampla pesquisa bibliográfica, assim como em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encontros com professores, nos grupos de estudos e prática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pedagógicas, nos quais há o debate de ideias para construir-se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 muitas mãos o programa que a rede seguirá.</w:t>
      </w:r>
    </w:p>
    <w:p w14:paraId="45DCD18B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Ao permitir que organizações sociais definam o currículo,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 projeto pedagógico, metodologias e organizações escolares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corre-se o risco de criar um abismo entre a realidade do aluno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aquilo que a escola propõe, pois uma das bases do currículo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cidade é a garantia do conhecimento do território escolar, assim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como da comunidade no qual a unidade está inserida, para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haja garantia de qualidade e equidade.</w:t>
      </w:r>
    </w:p>
    <w:p w14:paraId="435FA6CD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“Trata-se, portanto, de um documento que se atualiza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todos os dias nos diferentes territórios da cidade. É parte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um processo que passará por transformações e qualificações 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partir das contribuições vindas da prática.” Currículo da Cidade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educação infantil, pág.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Esta permissão também representa grande risco de tolher-se o pluralismo de ideias e concepções pedagógicas, possibilitando, por exemplo, a apresentação por parte das </w:t>
      </w:r>
      <w:proofErr w:type="spellStart"/>
      <w:r w:rsidRPr="00E201A6">
        <w:rPr>
          <w:rFonts w:ascii="Arial" w:hAnsi="Arial" w:cs="Arial"/>
        </w:rPr>
        <w:t>OSCs</w:t>
      </w:r>
      <w:proofErr w:type="spellEnd"/>
      <w:r w:rsidRPr="00E201A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projetos inconstitucionais como os do </w:t>
      </w:r>
      <w:r w:rsidRPr="00E201A6">
        <w:rPr>
          <w:rFonts w:ascii="Arial" w:hAnsi="Arial" w:cs="Arial"/>
        </w:rPr>
        <w:lastRenderedPageBreak/>
        <w:t>movimento denominado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“Escolas sem Partido”, conforme decidido pelo Supremo Tribunal Federal em ADI 5537.</w:t>
      </w:r>
    </w:p>
    <w:p w14:paraId="478ED021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O artigo 11 do projeto de lei dispõe que "as organizações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sociais terão autonomia para montar e gerir o time de professores, diretores, vice-diretores e secretário escolar da instituição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assistida conforme previsto na Lei Municipal nº 14.132, de 24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janeiro de 2006 e respeitadas as limitações impostas pelo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anexo I da Lei Municipal nº 14.660 de 26 de dezembro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2007".</w:t>
      </w:r>
    </w:p>
    <w:p w14:paraId="4CD34AAB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Lei Municipal nº 14.132/06 dispõe sobre a qualificação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entidades sem fins lucrativos como organizações sociais e 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contratos de gestão, termo de colaboração e termo de fomento.</w:t>
      </w:r>
    </w:p>
    <w:p w14:paraId="60E4634D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Já o anexo I da Lei Municipal nº 14.660/07, se refere ao Quadro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dos Profissionais de Educação, que indica o número de cargos, 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denominação do cargo/lotação e referência, além de dispor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 provimento de cargos da carreira de Magistério se dará por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ingresso por concurso público.</w:t>
      </w:r>
    </w:p>
    <w:p w14:paraId="34C2715E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Art. 8º. O provimento dos cargos da carreira do Magistério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Municipal far-se-á:</w:t>
      </w:r>
    </w:p>
    <w:p w14:paraId="2283E84F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I - </w:t>
      </w:r>
      <w:proofErr w:type="gramStart"/>
      <w:r w:rsidRPr="00E201A6">
        <w:rPr>
          <w:rFonts w:ascii="Arial" w:hAnsi="Arial" w:cs="Arial"/>
        </w:rPr>
        <w:t>mediante</w:t>
      </w:r>
      <w:proofErr w:type="gramEnd"/>
      <w:r w:rsidRPr="00E201A6">
        <w:rPr>
          <w:rFonts w:ascii="Arial" w:hAnsi="Arial" w:cs="Arial"/>
        </w:rPr>
        <w:t xml:space="preserve"> concurso público de provas ou de provas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títulos para os cargos da Classe dos Docentes;</w:t>
      </w:r>
    </w:p>
    <w:p w14:paraId="3973EB47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O projeto de lei não especifica se a autonomia de gestão se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dará nos mesmos moldes do existente nas escolas em relação à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Secretaria Municipal de Educação ou se o instrumento de parceria adotado poderá permitir formas diferenciadas de gestão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escolar e de contratação que não aquele mediante concurso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público, o que fere a lei citada.</w:t>
      </w:r>
    </w:p>
    <w:p w14:paraId="2F15CEB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Complementando as dúvidas existentes em relação à gestão e contratação de pessoal pelas </w:t>
      </w:r>
      <w:proofErr w:type="spellStart"/>
      <w:r w:rsidRPr="00E201A6">
        <w:rPr>
          <w:rFonts w:ascii="Arial" w:hAnsi="Arial" w:cs="Arial"/>
        </w:rPr>
        <w:t>OSCs</w:t>
      </w:r>
      <w:proofErr w:type="spellEnd"/>
      <w:r w:rsidRPr="00E201A6">
        <w:rPr>
          <w:rFonts w:ascii="Arial" w:hAnsi="Arial" w:cs="Arial"/>
        </w:rPr>
        <w:t xml:space="preserve"> conveniadas, o art. 12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assim estabelece: "Os funcionários efetivos das escolas que se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tornarem assistidas pela Organização Social poderão pleitear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ingresso no modelo de gestão e contratação da Organização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Social parceira ou, para aqueles que não queiram se submeter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ao novo regime de contratação proposto pela Organização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Social, poderão solicitar remoção para outra instituição pública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municipal".</w:t>
      </w:r>
    </w:p>
    <w:p w14:paraId="72A75C93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O parecer da Comissão de Administração Pública levanta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significativo ponto relativo a este artigo: "O art. 12 do projeto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lei estabelece que o funcionário efetivo poderá pleitear 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ingresso no modelo de gestão e contratação da Organização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Social ou solicitar remoção para outra instituição pública municipal. (...) Dependerá de Decreto Municipal regulamentar a situação para os funcionários da área da educação. A dúvida acerca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do tema é o que aconteceria se uma grande parte das unidades</w:t>
      </w:r>
    </w:p>
    <w:p w14:paraId="19977269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educacionais passarem para a gestão de Organizações Sociais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os funcionários não quiserem aderir a essa gestão. Onde seriam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realocados os funcionários?"</w:t>
      </w:r>
    </w:p>
    <w:p w14:paraId="620CD51F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Sobre esse questionamento, vamos além: como serão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garantidos os direitos aos servidores advindos dos novos concursos públicos para preenchimento de cargos vagos? Uma vez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se pode contratar servidores pelo regime CLT, os servidores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estatutários irão cair em vacância? O direito de discutir, discordar, manifestar opinião será cerceado devido ao medo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demissão e ao invés de termos uma gestão democrática, como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temos atualmente, teremos a gestão do medo e do “manda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quem pode, obedece quem tem juízo”. Esse seria um grande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retrocesso na educação pública do município.</w:t>
      </w:r>
    </w:p>
    <w:p w14:paraId="2159023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garantia de concurso público é mandamento constitucional, previsto tanto no art. 37, II, CF, quanto no art. 115, II,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Constituição Bandeirante, respeitando-se os princípios da impessoalidade, legalidade, moralidade, publicidade e eficiência,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além de outras normas de regência do direito administrativo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devem ser respeitadas tanto pela administração pública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direta quanto indireta.</w:t>
      </w:r>
    </w:p>
    <w:p w14:paraId="6EB5FC45" w14:textId="77777777" w:rsidR="00311954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Os ingressantes nos Quadros de Magistério do Município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devem ter respeitada a forma mais democrática de seleção, e,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por conseguinte, devem ser livres de qualquer tipo de influência, apadrinhamento e perseguições, pois o certame tem que ser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realizado com lisura para possibilitar o ingresso do candidato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mais preparado</w:t>
      </w:r>
      <w:r>
        <w:rPr>
          <w:rFonts w:ascii="Arial" w:hAnsi="Arial" w:cs="Arial"/>
        </w:rPr>
        <w:t>.</w:t>
      </w:r>
    </w:p>
    <w:p w14:paraId="569BE78A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Para tanto, garante-se a estes servidores o direito à estabilidade, conforme art. 41, caput, CF e, mais especificamente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aos profissionais de educação, o direito à liberdade de cátedra,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conforme art. 3º, II, LDB.</w:t>
      </w:r>
    </w:p>
    <w:p w14:paraId="360E785E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Ao mencionar outras formas de contratação pelas Organizações Sociais, corre-se o risco de que ocorra o definhamento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 xml:space="preserve">da contratação por concurso público destes profissionais, ferindo princípios </w:t>
      </w:r>
      <w:r w:rsidRPr="00E201A6">
        <w:rPr>
          <w:rFonts w:ascii="Arial" w:hAnsi="Arial" w:cs="Arial"/>
        </w:rPr>
        <w:lastRenderedPageBreak/>
        <w:t>basilares da administração pública e possibilitando a precariedade das condições de trabalho, resultando diretamente na qualidade de educação oferecida na rede municipal.</w:t>
      </w:r>
    </w:p>
    <w:p w14:paraId="642C82D1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 organização do Quadro dos Profissionais de Educação,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 as respectivas carreiras e o Estatuto dos Profissionais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Educação Municipal garante a equidade e isonomia do ensino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público municipal, motivo pelo qual deve-se permanecer a eficácia das normativas em comento.</w:t>
      </w:r>
    </w:p>
    <w:p w14:paraId="1AA36F82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Destacamos também que o modelo adotado nas creches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conveniadas na Prefeitura de São Paulo, conforme demonstrado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em auditoria do TCM acima citada, não garante o direito à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formação do educador em sua carga horária semanal, o que impede o aperfeiçoamento profissional, refletindo nas práticas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ensino, pois o tempo que na rede direta é dedicado ao estudo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 formação docente, na rede conveniada é tempo em sala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aula, o que se torna extremamente extenuante para o educador</w:t>
      </w:r>
    </w:p>
    <w:p w14:paraId="0AF99111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e implica diretamente em sua formação pedagógica.</w:t>
      </w:r>
    </w:p>
    <w:p w14:paraId="233EED8E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As diferenças entre a contratação pelas CEIs diretas 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conveniadas e sua relação com a condições de trabalho do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profissional são gritantes, citando-se a extenuante jornada 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trabalho; a menor valorização dos profissionais, inclusive por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falta de tempo para cursos de formação em serviço; a maior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rotatividade; a menor remuneração dos profissionais das redes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conveniadas e a ausência da gestão democrática, pois a relação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se institui é a relação de gerenciamento/mando/comando/submissão, e não a relação da gestão da mediação pedagógica.</w:t>
      </w:r>
    </w:p>
    <w:p w14:paraId="402C12CA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>Por fim, é importante consignar a posição de educadores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estudam há anos o modelo de educação pública, como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por exemplo o professor da UFABC e integrante da REPU (Rede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Escola Pública e Universidade), Fernando Cássio**. Para 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professor, “a proposta se baseia em uma ideia simplória de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gestão empresarial ou terceirizada funciona melhor do que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 gestão pública. Indicadores de ensino ruins são resultado da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falta de investimento decente em educação, falta de professores, salários baixos, falta de assistência social aos alunos. Resolver essas questões é a solução para um sistema educacional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eficiente, não uma gestão empresarial”.</w:t>
      </w:r>
    </w:p>
    <w:p w14:paraId="75D99DAE" w14:textId="3B3E3FAE" w:rsidR="00311954" w:rsidRDefault="00311954" w:rsidP="00311954">
      <w:pPr>
        <w:spacing w:after="0"/>
        <w:jc w:val="both"/>
        <w:rPr>
          <w:rFonts w:ascii="Arial" w:hAnsi="Arial" w:cs="Arial"/>
          <w:b/>
          <w:bCs/>
        </w:rPr>
      </w:pPr>
      <w:r w:rsidRPr="00E201A6">
        <w:rPr>
          <w:rFonts w:ascii="Arial" w:hAnsi="Arial" w:cs="Arial"/>
        </w:rPr>
        <w:t>Tratando-se de Projeto de Lei que delega às Organizações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Sociais a educação no município de São Paulo e devido à generalidade de grande parte de seu conteúdo, inclusive quanto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ao uso do erário para sua implementação, assim como os fatos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 comprovam a queda na qualidade de direitos fundamentais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como exemplificado pela adoção de creches conveniadas no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Município, o afronto à Constituição Federal e demais legislações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citadas, a Comissão de Educação, Cultura e Esportes, no âmbito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sua competência, entende que o objeto da propositura em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questão não está aderente às diretrizes da educação pública</w:t>
      </w:r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de qualidade, seguida pelas escolas municipais. Ante o exposto,</w:t>
      </w:r>
      <w:r>
        <w:rPr>
          <w:rFonts w:ascii="Arial" w:hAnsi="Arial" w:cs="Arial"/>
        </w:rPr>
        <w:t xml:space="preserve"> </w:t>
      </w:r>
      <w:r w:rsidRPr="00323D2F">
        <w:rPr>
          <w:rFonts w:ascii="Arial" w:hAnsi="Arial" w:cs="Arial"/>
          <w:b/>
          <w:bCs/>
        </w:rPr>
        <w:t>contrário é o parecer.</w:t>
      </w:r>
    </w:p>
    <w:p w14:paraId="5E1DD691" w14:textId="77777777" w:rsidR="00311954" w:rsidRPr="00323D2F" w:rsidRDefault="00311954" w:rsidP="00311954">
      <w:pPr>
        <w:spacing w:after="0"/>
        <w:jc w:val="both"/>
        <w:rPr>
          <w:rFonts w:ascii="Arial" w:hAnsi="Arial" w:cs="Arial"/>
          <w:b/>
          <w:bCs/>
        </w:rPr>
      </w:pPr>
    </w:p>
    <w:p w14:paraId="3883154C" w14:textId="39BD6925" w:rsidR="00311954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1A6">
        <w:rPr>
          <w:rFonts w:ascii="Arial" w:hAnsi="Arial" w:cs="Arial"/>
          <w:sz w:val="18"/>
          <w:szCs w:val="18"/>
        </w:rPr>
        <w:t>Sala da Comissão de Educação, Cultura e Esportes, em</w:t>
      </w:r>
      <w:r>
        <w:rPr>
          <w:rFonts w:ascii="Arial" w:hAnsi="Arial" w:cs="Arial"/>
          <w:sz w:val="18"/>
          <w:szCs w:val="18"/>
        </w:rPr>
        <w:t xml:space="preserve"> </w:t>
      </w:r>
      <w:r w:rsidRPr="00E201A6">
        <w:rPr>
          <w:rFonts w:ascii="Arial" w:hAnsi="Arial" w:cs="Arial"/>
          <w:sz w:val="18"/>
          <w:szCs w:val="18"/>
        </w:rPr>
        <w:t>24/08/2022.</w:t>
      </w:r>
    </w:p>
    <w:p w14:paraId="32777C92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7D4CC78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1A6">
        <w:rPr>
          <w:rFonts w:ascii="Arial" w:hAnsi="Arial" w:cs="Arial"/>
          <w:sz w:val="18"/>
          <w:szCs w:val="18"/>
        </w:rPr>
        <w:t>Ver. Eliseu Gabriel (PSB) - Presidente</w:t>
      </w:r>
    </w:p>
    <w:p w14:paraId="59B4D27C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1A6">
        <w:rPr>
          <w:rFonts w:ascii="Arial" w:hAnsi="Arial" w:cs="Arial"/>
          <w:sz w:val="18"/>
          <w:szCs w:val="18"/>
        </w:rPr>
        <w:t>Ver. Celso Giannazi (PSOL) - Relator</w:t>
      </w:r>
    </w:p>
    <w:p w14:paraId="08FBD669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1A6">
        <w:rPr>
          <w:rFonts w:ascii="Arial" w:hAnsi="Arial" w:cs="Arial"/>
          <w:sz w:val="18"/>
          <w:szCs w:val="18"/>
        </w:rPr>
        <w:t>Ver. Delegado Palumbo (MDB)</w:t>
      </w:r>
    </w:p>
    <w:p w14:paraId="405D3B2F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1A6">
        <w:rPr>
          <w:rFonts w:ascii="Arial" w:hAnsi="Arial" w:cs="Arial"/>
          <w:sz w:val="18"/>
          <w:szCs w:val="18"/>
        </w:rPr>
        <w:t>Ver. Eduardo Matarazzo Suplicy (PT)</w:t>
      </w:r>
    </w:p>
    <w:p w14:paraId="53B44706" w14:textId="2CF2B57F" w:rsidR="00311954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  <w:r w:rsidRPr="00E201A6">
        <w:rPr>
          <w:rFonts w:ascii="Arial" w:hAnsi="Arial" w:cs="Arial"/>
          <w:sz w:val="18"/>
          <w:szCs w:val="18"/>
        </w:rPr>
        <w:t>Ver. Roberto Tripoli (PV)</w:t>
      </w:r>
    </w:p>
    <w:p w14:paraId="76299569" w14:textId="77777777" w:rsidR="00311954" w:rsidRPr="00E201A6" w:rsidRDefault="00311954" w:rsidP="0031195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6159FEC" w14:textId="77777777" w:rsidR="00311954" w:rsidRPr="00E201A6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* Disponível em </w:t>
      </w:r>
      <w:hyperlink r:id="rId4" w:history="1">
        <w:r w:rsidRPr="00577655">
          <w:rPr>
            <w:rStyle w:val="Hyperlink"/>
            <w:rFonts w:ascii="Arial" w:hAnsi="Arial" w:cs="Arial"/>
          </w:rPr>
          <w:t>https://agora.folha.uol.com.br/sao-paulo/2021/01/mafia-das-creches-desviou-ao-menos-r-14-milhoes-em-sp-diz-pf.shtml. Acesso em 21.06.22</w:t>
        </w:r>
      </w:hyperlink>
      <w:r>
        <w:rPr>
          <w:rFonts w:ascii="Arial" w:hAnsi="Arial" w:cs="Arial"/>
        </w:rPr>
        <w:t xml:space="preserve"> </w:t>
      </w:r>
    </w:p>
    <w:p w14:paraId="46A50C68" w14:textId="77777777" w:rsidR="00311954" w:rsidRDefault="00311954" w:rsidP="00311954">
      <w:pPr>
        <w:spacing w:after="0"/>
        <w:jc w:val="both"/>
        <w:rPr>
          <w:rFonts w:ascii="Arial" w:hAnsi="Arial" w:cs="Arial"/>
        </w:rPr>
      </w:pPr>
      <w:r w:rsidRPr="00E201A6">
        <w:rPr>
          <w:rFonts w:ascii="Arial" w:hAnsi="Arial" w:cs="Arial"/>
        </w:rPr>
        <w:t xml:space="preserve">** Disponível em </w:t>
      </w:r>
      <w:hyperlink r:id="rId5" w:history="1">
        <w:r w:rsidRPr="00577655">
          <w:rPr>
            <w:rStyle w:val="Hyperlink"/>
            <w:rFonts w:ascii="Arial" w:hAnsi="Arial" w:cs="Arial"/>
          </w:rPr>
          <w:t>https://www.gazetasp.com.br/estado/camara-de-sp-discute-projeto-que-autoriza-3eordm-setor-a-gerir-escola/1111335/</w:t>
        </w:r>
      </w:hyperlink>
      <w:r>
        <w:rPr>
          <w:rFonts w:ascii="Arial" w:hAnsi="Arial" w:cs="Arial"/>
        </w:rPr>
        <w:t xml:space="preserve"> </w:t>
      </w:r>
      <w:r w:rsidRPr="00E201A6">
        <w:rPr>
          <w:rFonts w:ascii="Arial" w:hAnsi="Arial" w:cs="Arial"/>
        </w:rPr>
        <w:t>. Acesso em 22.06.22</w:t>
      </w:r>
      <w:r>
        <w:rPr>
          <w:rFonts w:ascii="Arial" w:hAnsi="Arial" w:cs="Arial"/>
        </w:rPr>
        <w:t xml:space="preserve"> </w:t>
      </w:r>
    </w:p>
    <w:p w14:paraId="44D9CC4B" w14:textId="77777777" w:rsidR="00311954" w:rsidRDefault="00311954" w:rsidP="00311954">
      <w:pPr>
        <w:spacing w:after="0"/>
        <w:jc w:val="both"/>
        <w:rPr>
          <w:rFonts w:ascii="Arial" w:hAnsi="Arial" w:cs="Arial"/>
        </w:rPr>
      </w:pPr>
    </w:p>
    <w:p w14:paraId="43435F7F" w14:textId="174488BC" w:rsidR="008A2CF6" w:rsidRPr="00311954" w:rsidRDefault="008A2CF6" w:rsidP="00311954">
      <w:pPr>
        <w:spacing w:after="0"/>
        <w:jc w:val="both"/>
        <w:rPr>
          <w:rFonts w:ascii="Arial" w:hAnsi="Arial" w:cs="Arial"/>
        </w:rPr>
      </w:pPr>
    </w:p>
    <w:sectPr w:rsidR="008A2CF6" w:rsidRPr="00311954" w:rsidSect="003119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54"/>
    <w:rsid w:val="00311954"/>
    <w:rsid w:val="008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82A1"/>
  <w15:chartTrackingRefBased/>
  <w15:docId w15:val="{D0033DB5-57E8-4FF6-B1CB-0DD09247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11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zetasp.com.br/estado/camara-de-sp-discute-projeto-que-autoriza-3eordm-setor-a-gerir-escola/1111335/" TargetMode="External"/><Relationship Id="rId4" Type="http://schemas.openxmlformats.org/officeDocument/2006/relationships/hyperlink" Target="https://agora.folha.uol.com.br/sao-paulo/2021/01/mafia-das-creches-desviou-ao-menos-r-14-milhoes-em-sp-diz-pf.shtml.%20Acesso%20em%2021.06.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3892</Words>
  <Characters>21023</Characters>
  <Application>Microsoft Office Word</Application>
  <DocSecurity>0</DocSecurity>
  <Lines>175</Lines>
  <Paragraphs>49</Paragraphs>
  <ScaleCrop>false</ScaleCrop>
  <Company/>
  <LinksUpToDate>false</LinksUpToDate>
  <CharactersWithSpaces>24866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2022-08-25T10:44:00Z</dcterms:created>
  <dcterms:modified xsi:type="dcterms:W3CDTF">2022-08-25T10:45:00Z</dcterms:modified>
</cp:coreProperties>
</file>