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014D" w14:textId="1A1D0D8B" w:rsidR="00B223FF" w:rsidRDefault="00B223FF" w:rsidP="00B223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07/04/2022 - </w:t>
      </w:r>
      <w:r w:rsidRPr="001360C8">
        <w:rPr>
          <w:rFonts w:ascii="Arial" w:hAnsi="Arial" w:cs="Arial"/>
        </w:rPr>
        <w:t>p. 113</w:t>
      </w:r>
    </w:p>
    <w:p w14:paraId="679D5859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</w:p>
    <w:p w14:paraId="661E96B3" w14:textId="1A5339C8" w:rsidR="00B223FF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TRIBUNAL DE CONTAS</w:t>
      </w:r>
    </w:p>
    <w:p w14:paraId="05DC7345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</w:p>
    <w:p w14:paraId="3E8845EA" w14:textId="753EC7B9" w:rsidR="00B223FF" w:rsidRDefault="00B223FF" w:rsidP="00B223FF">
      <w:pPr>
        <w:spacing w:after="0"/>
        <w:jc w:val="both"/>
        <w:rPr>
          <w:rFonts w:ascii="Arial" w:hAnsi="Arial" w:cs="Arial"/>
          <w:b/>
          <w:bCs/>
        </w:rPr>
      </w:pPr>
      <w:r w:rsidRPr="001360C8">
        <w:rPr>
          <w:rFonts w:ascii="Arial" w:hAnsi="Arial" w:cs="Arial"/>
          <w:b/>
          <w:bCs/>
        </w:rPr>
        <w:t>RESOLUÇÃO Nº 07/2022</w:t>
      </w:r>
    </w:p>
    <w:p w14:paraId="0481041D" w14:textId="77777777" w:rsidR="00B223FF" w:rsidRPr="001360C8" w:rsidRDefault="00B223FF" w:rsidP="00B223FF">
      <w:pPr>
        <w:spacing w:after="0"/>
        <w:jc w:val="both"/>
        <w:rPr>
          <w:rFonts w:ascii="Arial" w:hAnsi="Arial" w:cs="Arial"/>
          <w:b/>
          <w:bCs/>
        </w:rPr>
      </w:pPr>
    </w:p>
    <w:p w14:paraId="0CEF09A3" w14:textId="64878268" w:rsidR="00B223FF" w:rsidRDefault="00B223FF" w:rsidP="00B223F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360C8">
        <w:rPr>
          <w:rFonts w:ascii="Arial" w:hAnsi="Arial" w:cs="Arial"/>
          <w:b/>
          <w:bCs/>
          <w:i/>
          <w:iCs/>
        </w:rPr>
        <w:t>Dispõe sobre a elaboração de deliberações que contemplem medidas a serem tomadas pelas unidades jurisdicionadas ao Tribunal de Contas do Município de São Paulo.</w:t>
      </w:r>
    </w:p>
    <w:p w14:paraId="3DA2C0A0" w14:textId="77777777" w:rsidR="00B223FF" w:rsidRPr="001360C8" w:rsidRDefault="00B223FF" w:rsidP="00B223F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9516DB5" w14:textId="27C482BB" w:rsidR="00B223FF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O TRIBUNAL DE CONTAS DO MUNICÍPIO DE SÃO PAULO,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no uso de suas atribuições legais,</w:t>
      </w:r>
    </w:p>
    <w:p w14:paraId="38D81A26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</w:p>
    <w:p w14:paraId="53EA9B22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CONSIDERANDO a necessidade de implementar instrumentos voltados à cooperação, à celeridade, à eficiência e à efetividade visando ao devido processo legal no controle externo;</w:t>
      </w:r>
    </w:p>
    <w:p w14:paraId="6A4E5425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CONSIDERANDO que os obstáculos, as dificuldades reais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do gestor e as exigências das políticas públicas a seu cargo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devem ser considerados na interpretação de normas sobre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gestão pública; e</w:t>
      </w:r>
    </w:p>
    <w:p w14:paraId="59FF05C0" w14:textId="556FF1F4" w:rsidR="00B223FF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CONSIDERANDO que a normatização de procedimentos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favorece a transparência e a segurança jurídica,</w:t>
      </w:r>
    </w:p>
    <w:p w14:paraId="42A208CA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</w:p>
    <w:p w14:paraId="278C8FB0" w14:textId="5D37FD7B" w:rsidR="00B223FF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RESOLVE:</w:t>
      </w:r>
    </w:p>
    <w:p w14:paraId="48043831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</w:p>
    <w:p w14:paraId="56710CDB" w14:textId="77777777" w:rsidR="00B223FF" w:rsidRPr="00BF15BB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  <w:r w:rsidRPr="00BF15BB">
        <w:rPr>
          <w:rFonts w:ascii="Arial" w:hAnsi="Arial" w:cs="Arial"/>
          <w:b/>
          <w:bCs/>
        </w:rPr>
        <w:t>CAPÍTULO I</w:t>
      </w:r>
    </w:p>
    <w:p w14:paraId="4A07170F" w14:textId="64EC87D7" w:rsidR="00B223FF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  <w:r w:rsidRPr="00BF15BB">
        <w:rPr>
          <w:rFonts w:ascii="Arial" w:hAnsi="Arial" w:cs="Arial"/>
          <w:b/>
          <w:bCs/>
        </w:rPr>
        <w:t>DAS DEFINIÇÕES</w:t>
      </w:r>
    </w:p>
    <w:p w14:paraId="61242D5A" w14:textId="77777777" w:rsidR="00B223FF" w:rsidRPr="00BF15BB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</w:p>
    <w:p w14:paraId="0D0C6AB3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Art. 1º Esta Resolução aplica-se às deliberações emitidas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pelo Tribunal de Contas do Município de São Paulo aos seus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jurisdicionados em processos de fiscalização.</w:t>
      </w:r>
    </w:p>
    <w:p w14:paraId="6D5886EF" w14:textId="77777777" w:rsidR="00B223FF" w:rsidRDefault="00B223FF" w:rsidP="00B223FF">
      <w:pPr>
        <w:spacing w:after="0"/>
        <w:jc w:val="both"/>
        <w:rPr>
          <w:rFonts w:ascii="Arial" w:hAnsi="Arial" w:cs="Arial"/>
        </w:rPr>
      </w:pPr>
    </w:p>
    <w:p w14:paraId="30661D1C" w14:textId="43ECC543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Art. 2º Para efeito desta resolução, consideram-se deliberações:</w:t>
      </w:r>
    </w:p>
    <w:p w14:paraId="58778AF8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 - </w:t>
      </w:r>
      <w:proofErr w:type="gramStart"/>
      <w:r w:rsidRPr="001360C8">
        <w:rPr>
          <w:rFonts w:ascii="Arial" w:hAnsi="Arial" w:cs="Arial"/>
        </w:rPr>
        <w:t>determinação</w:t>
      </w:r>
      <w:proofErr w:type="gramEnd"/>
      <w:r w:rsidRPr="001360C8">
        <w:rPr>
          <w:rFonts w:ascii="Arial" w:hAnsi="Arial" w:cs="Arial"/>
        </w:rPr>
        <w:t>: comando emitido pelo Tribunal aos jurisdicionados que visa à adoção de providências corretivas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decorrentes de apontamentos que indiquem infringências 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leis, normas ou contratos identificados pelos órgãos técnicos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e/ou pelo relator/Colegiado, de cumprimento obrigatório sob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pena de sanção administrativa. São expedidas para que a causa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da infringência não volte a se repetir e/ou para que cessem os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seus efeitos;</w:t>
      </w:r>
    </w:p>
    <w:p w14:paraId="7D1B3717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II - </w:t>
      </w:r>
      <w:proofErr w:type="gramStart"/>
      <w:r w:rsidRPr="001360C8">
        <w:rPr>
          <w:rFonts w:ascii="Arial" w:hAnsi="Arial" w:cs="Arial"/>
        </w:rPr>
        <w:t>recomendação</w:t>
      </w:r>
      <w:proofErr w:type="gramEnd"/>
      <w:r w:rsidRPr="001360C8">
        <w:rPr>
          <w:rFonts w:ascii="Arial" w:hAnsi="Arial" w:cs="Arial"/>
        </w:rPr>
        <w:t>: sugestão de melhoria emitida pelo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Tribunal aos jurisdicionados que visa à adoção de providências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corretivas decorrentes de apontamentos que indiquem falhas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de controle ou necessidade de aperfeiçoamento da gestão identificados pelos órgãos técnicos e/ou pelo relator/Colegiado; e</w:t>
      </w:r>
    </w:p>
    <w:p w14:paraId="181D55E2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III - ciência: deliberação de natureza declaratória que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cientifica os jurisdicionados da ocorrência de falhas de controle/gestão ou descumprimento de leis, normas ou jurisprudências,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consideradas de menor relevância.</w:t>
      </w:r>
    </w:p>
    <w:p w14:paraId="694D8C27" w14:textId="77777777" w:rsidR="00B223FF" w:rsidRDefault="00B223FF" w:rsidP="00B223FF">
      <w:pPr>
        <w:spacing w:after="0"/>
        <w:jc w:val="both"/>
        <w:rPr>
          <w:rFonts w:ascii="Arial" w:hAnsi="Arial" w:cs="Arial"/>
        </w:rPr>
      </w:pPr>
    </w:p>
    <w:p w14:paraId="38748190" w14:textId="5F069580" w:rsidR="00B223FF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Art. 3º A proposta de emissão de deliberações deverá observar os modelos do Anexo I.</w:t>
      </w:r>
    </w:p>
    <w:p w14:paraId="1AA22778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</w:p>
    <w:p w14:paraId="689B4F92" w14:textId="77777777" w:rsidR="00B223FF" w:rsidRPr="00BF15BB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  <w:r w:rsidRPr="00BF15BB">
        <w:rPr>
          <w:rFonts w:ascii="Arial" w:hAnsi="Arial" w:cs="Arial"/>
          <w:b/>
          <w:bCs/>
        </w:rPr>
        <w:t>CAPÍTULO II</w:t>
      </w:r>
    </w:p>
    <w:p w14:paraId="29488136" w14:textId="59D0E382" w:rsidR="00B223FF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  <w:r w:rsidRPr="00BF15BB">
        <w:rPr>
          <w:rFonts w:ascii="Arial" w:hAnsi="Arial" w:cs="Arial"/>
          <w:b/>
          <w:bCs/>
        </w:rPr>
        <w:t>DAS DETERMINAÇÕES</w:t>
      </w:r>
    </w:p>
    <w:p w14:paraId="3DB4E5EB" w14:textId="77777777" w:rsidR="00B223FF" w:rsidRPr="00BF15BB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</w:p>
    <w:p w14:paraId="5D91C10B" w14:textId="39FD95E3" w:rsidR="00B223FF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Art. 4º As determinações devem indicar a ação ou a abstenção necessárias e suficientes para alcance da finalidade do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controle, sem adentrar em nível de detalhamento que restrinja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 discricionariedade do gestor quanto à escolha dos meios para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correção da situação irregular, salvo se o caso exigir providência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específica para o exato cumprimento da lei, observados os preceitos do Decreto-Lei nº 4.657/42 (Lei de Introdução às Normas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 xml:space="preserve">do Direito </w:t>
      </w:r>
      <w:proofErr w:type="gramStart"/>
      <w:r w:rsidRPr="001360C8">
        <w:rPr>
          <w:rFonts w:ascii="Arial" w:hAnsi="Arial" w:cs="Arial"/>
        </w:rPr>
        <w:t>Brasileiro</w:t>
      </w:r>
      <w:proofErr w:type="gramEnd"/>
      <w:r w:rsidRPr="001360C8">
        <w:rPr>
          <w:rFonts w:ascii="Arial" w:hAnsi="Arial" w:cs="Arial"/>
        </w:rPr>
        <w:t>).</w:t>
      </w:r>
    </w:p>
    <w:p w14:paraId="506BFDF4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</w:p>
    <w:p w14:paraId="3BA7A753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lastRenderedPageBreak/>
        <w:t>Art. 5º As determinações devem observar, ainda, as seguintes exigências:</w:t>
      </w:r>
    </w:p>
    <w:p w14:paraId="29CAFD4F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 - </w:t>
      </w:r>
      <w:proofErr w:type="gramStart"/>
      <w:r w:rsidRPr="001360C8">
        <w:rPr>
          <w:rFonts w:ascii="Arial" w:hAnsi="Arial" w:cs="Arial"/>
        </w:rPr>
        <w:t>indicar</w:t>
      </w:r>
      <w:proofErr w:type="gramEnd"/>
      <w:r w:rsidRPr="001360C8">
        <w:rPr>
          <w:rFonts w:ascii="Arial" w:hAnsi="Arial" w:cs="Arial"/>
        </w:rPr>
        <w:t xml:space="preserve"> o dispositivo constitucional, legal ou regulamentar infringido;</w:t>
      </w:r>
    </w:p>
    <w:p w14:paraId="6B649796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II - </w:t>
      </w:r>
      <w:proofErr w:type="gramStart"/>
      <w:r w:rsidRPr="001360C8">
        <w:rPr>
          <w:rFonts w:ascii="Arial" w:hAnsi="Arial" w:cs="Arial"/>
        </w:rPr>
        <w:t>conter</w:t>
      </w:r>
      <w:proofErr w:type="gramEnd"/>
      <w:r w:rsidRPr="001360C8">
        <w:rPr>
          <w:rFonts w:ascii="Arial" w:hAnsi="Arial" w:cs="Arial"/>
        </w:rPr>
        <w:t xml:space="preserve"> prazo para cumprimento;</w:t>
      </w:r>
    </w:p>
    <w:p w14:paraId="0D18582C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III - possuir redação objetiva, clara, concisa, precisa e ordenada de maneira lógica;</w:t>
      </w:r>
    </w:p>
    <w:p w14:paraId="79FB3B11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IV - </w:t>
      </w:r>
      <w:proofErr w:type="gramStart"/>
      <w:r w:rsidRPr="001360C8">
        <w:rPr>
          <w:rFonts w:ascii="Arial" w:hAnsi="Arial" w:cs="Arial"/>
        </w:rPr>
        <w:t>priorizar</w:t>
      </w:r>
      <w:proofErr w:type="gramEnd"/>
      <w:r w:rsidRPr="001360C8">
        <w:rPr>
          <w:rFonts w:ascii="Arial" w:hAnsi="Arial" w:cs="Arial"/>
        </w:rPr>
        <w:t xml:space="preserve"> aspectos mais relevantes, com vistas à correção das principais deficiências identificadas;</w:t>
      </w:r>
      <w:r>
        <w:rPr>
          <w:rFonts w:ascii="Arial" w:hAnsi="Arial" w:cs="Arial"/>
        </w:rPr>
        <w:t xml:space="preserve"> </w:t>
      </w:r>
    </w:p>
    <w:p w14:paraId="3615E606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V - </w:t>
      </w:r>
      <w:proofErr w:type="gramStart"/>
      <w:r w:rsidRPr="001360C8">
        <w:rPr>
          <w:rFonts w:ascii="Arial" w:hAnsi="Arial" w:cs="Arial"/>
        </w:rPr>
        <w:t>estar</w:t>
      </w:r>
      <w:proofErr w:type="gramEnd"/>
      <w:r w:rsidRPr="001360C8">
        <w:rPr>
          <w:rFonts w:ascii="Arial" w:hAnsi="Arial" w:cs="Arial"/>
        </w:rPr>
        <w:t xml:space="preserve"> fundamentada nos fatos apontados e/ou na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análise efetuada no relatório e na instrução técnica e no voto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do relator;</w:t>
      </w:r>
    </w:p>
    <w:p w14:paraId="01264EEC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VI - </w:t>
      </w:r>
      <w:proofErr w:type="gramStart"/>
      <w:r w:rsidRPr="001360C8">
        <w:rPr>
          <w:rFonts w:ascii="Arial" w:hAnsi="Arial" w:cs="Arial"/>
        </w:rPr>
        <w:t>considerar</w:t>
      </w:r>
      <w:proofErr w:type="gramEnd"/>
      <w:r w:rsidRPr="001360C8">
        <w:rPr>
          <w:rFonts w:ascii="Arial" w:hAnsi="Arial" w:cs="Arial"/>
        </w:rPr>
        <w:t xml:space="preserve"> a viabilidade de sua implementação;</w:t>
      </w:r>
    </w:p>
    <w:p w14:paraId="35AE65F0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VII - tratar de matéria inserida no âmbito das competências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do Tribunal;</w:t>
      </w:r>
    </w:p>
    <w:p w14:paraId="7E89767C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VIII - ser mensuráveis, evitando a utilização de expressões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tais como “melhorar”, “reduzir”, “aprimorar”, “envidar esforços” etc.; e</w:t>
      </w:r>
    </w:p>
    <w:p w14:paraId="7A937797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IX - </w:t>
      </w:r>
      <w:proofErr w:type="gramStart"/>
      <w:r w:rsidRPr="001360C8">
        <w:rPr>
          <w:rFonts w:ascii="Arial" w:hAnsi="Arial" w:cs="Arial"/>
        </w:rPr>
        <w:t>identificar</w:t>
      </w:r>
      <w:proofErr w:type="gramEnd"/>
      <w:r w:rsidRPr="001360C8">
        <w:rPr>
          <w:rFonts w:ascii="Arial" w:hAnsi="Arial" w:cs="Arial"/>
        </w:rPr>
        <w:t xml:space="preserve"> com precisão a unidade jurisdicionada destinatária das medidas.</w:t>
      </w:r>
    </w:p>
    <w:p w14:paraId="25A8FAE3" w14:textId="77777777" w:rsidR="00B223FF" w:rsidRDefault="00B223FF" w:rsidP="00B223FF">
      <w:pPr>
        <w:spacing w:after="0"/>
        <w:jc w:val="both"/>
        <w:rPr>
          <w:rFonts w:ascii="Arial" w:hAnsi="Arial" w:cs="Arial"/>
        </w:rPr>
      </w:pPr>
    </w:p>
    <w:p w14:paraId="065FE880" w14:textId="21AA847A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Art. 6º Não devem ser formuladas determinações para:</w:t>
      </w:r>
    </w:p>
    <w:p w14:paraId="286727BB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 - </w:t>
      </w:r>
      <w:proofErr w:type="gramStart"/>
      <w:r w:rsidRPr="001360C8">
        <w:rPr>
          <w:rFonts w:ascii="Arial" w:hAnsi="Arial" w:cs="Arial"/>
        </w:rPr>
        <w:t>a</w:t>
      </w:r>
      <w:proofErr w:type="gramEnd"/>
      <w:r w:rsidRPr="001360C8">
        <w:rPr>
          <w:rFonts w:ascii="Arial" w:hAnsi="Arial" w:cs="Arial"/>
        </w:rPr>
        <w:t xml:space="preserve"> realização de estudos, projetos, análises e constituição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de grupos de trabalho, exceto aqueles decorrentes de exigência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prevista por lei ou norma;</w:t>
      </w:r>
    </w:p>
    <w:p w14:paraId="186BF160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II - </w:t>
      </w:r>
      <w:proofErr w:type="gramStart"/>
      <w:r w:rsidRPr="001360C8">
        <w:rPr>
          <w:rFonts w:ascii="Arial" w:hAnsi="Arial" w:cs="Arial"/>
        </w:rPr>
        <w:t>comandos</w:t>
      </w:r>
      <w:proofErr w:type="gramEnd"/>
      <w:r w:rsidRPr="001360C8">
        <w:rPr>
          <w:rFonts w:ascii="Arial" w:hAnsi="Arial" w:cs="Arial"/>
        </w:rPr>
        <w:t xml:space="preserve"> múltiplos que obriguem que o cumprimento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da determinação implique a realização de todos os comandos;</w:t>
      </w:r>
    </w:p>
    <w:p w14:paraId="0017AB72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III - questões genéricas que incidam, por exemplo, sobre 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totalidade de uma função ou programa de governo;</w:t>
      </w:r>
    </w:p>
    <w:p w14:paraId="2718F767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IV - </w:t>
      </w:r>
      <w:proofErr w:type="gramStart"/>
      <w:r w:rsidRPr="001360C8">
        <w:rPr>
          <w:rFonts w:ascii="Arial" w:hAnsi="Arial" w:cs="Arial"/>
        </w:rPr>
        <w:t>o</w:t>
      </w:r>
      <w:proofErr w:type="gramEnd"/>
      <w:r w:rsidRPr="001360C8">
        <w:rPr>
          <w:rFonts w:ascii="Arial" w:hAnsi="Arial" w:cs="Arial"/>
        </w:rPr>
        <w:t xml:space="preserve"> comando simples e direto para o cumprimento de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 xml:space="preserve">leis e/ou de normativos (exemplo: “Cumprir a Lei nº </w:t>
      </w:r>
      <w:proofErr w:type="spellStart"/>
      <w:r w:rsidRPr="001360C8">
        <w:rPr>
          <w:rFonts w:ascii="Arial" w:hAnsi="Arial" w:cs="Arial"/>
        </w:rPr>
        <w:t>xxx</w:t>
      </w:r>
      <w:proofErr w:type="spellEnd"/>
      <w:r w:rsidRPr="001360C8">
        <w:rPr>
          <w:rFonts w:ascii="Arial" w:hAnsi="Arial" w:cs="Arial"/>
        </w:rPr>
        <w:t>/</w:t>
      </w:r>
      <w:proofErr w:type="spellStart"/>
      <w:r w:rsidRPr="001360C8">
        <w:rPr>
          <w:rFonts w:ascii="Arial" w:hAnsi="Arial" w:cs="Arial"/>
        </w:rPr>
        <w:t>yyyy</w:t>
      </w:r>
      <w:proofErr w:type="spellEnd"/>
      <w:r w:rsidRPr="001360C8">
        <w:rPr>
          <w:rFonts w:ascii="Arial" w:hAnsi="Arial" w:cs="Arial"/>
        </w:rPr>
        <w:t>.”),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tendo em vista que as determinações devem ser expedidas para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que a causa da infringência não volte a se repetir ou para que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cessem os efeitos de atos irregulares; e</w:t>
      </w:r>
    </w:p>
    <w:p w14:paraId="03D7ECBC" w14:textId="5EADA3A4" w:rsidR="00B223FF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V - </w:t>
      </w:r>
      <w:proofErr w:type="gramStart"/>
      <w:r w:rsidRPr="001360C8">
        <w:rPr>
          <w:rFonts w:ascii="Arial" w:hAnsi="Arial" w:cs="Arial"/>
        </w:rPr>
        <w:t>implementação</w:t>
      </w:r>
      <w:proofErr w:type="gramEnd"/>
      <w:r w:rsidRPr="001360C8">
        <w:rPr>
          <w:rFonts w:ascii="Arial" w:hAnsi="Arial" w:cs="Arial"/>
        </w:rPr>
        <w:t xml:space="preserve"> de mecanismos de controle interno,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governança e gestão, exceto os exigidos por lei ou norma e que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demandem implantação imediata.</w:t>
      </w:r>
    </w:p>
    <w:p w14:paraId="466BA7DD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</w:p>
    <w:p w14:paraId="0DA19FE6" w14:textId="77777777" w:rsidR="00B223FF" w:rsidRPr="00BF15BB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  <w:r w:rsidRPr="00BF15BB">
        <w:rPr>
          <w:rFonts w:ascii="Arial" w:hAnsi="Arial" w:cs="Arial"/>
          <w:b/>
          <w:bCs/>
        </w:rPr>
        <w:t>CAPÍTULO III</w:t>
      </w:r>
    </w:p>
    <w:p w14:paraId="0C7FE57E" w14:textId="2B13A898" w:rsidR="00B223FF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  <w:r w:rsidRPr="00BF15BB">
        <w:rPr>
          <w:rFonts w:ascii="Arial" w:hAnsi="Arial" w:cs="Arial"/>
          <w:b/>
          <w:bCs/>
        </w:rPr>
        <w:t>DAS RECOMENDAÇÕES</w:t>
      </w:r>
    </w:p>
    <w:p w14:paraId="2C37AADC" w14:textId="77777777" w:rsidR="00B223FF" w:rsidRPr="00BF15BB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</w:p>
    <w:p w14:paraId="2193C953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Art. 7º As recomendações devem contribuir para o aperfeiçoamento da gestão e dos programas e ações de governo, em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termos de economicidade, eficiência e efetividade, cabendo à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unidade jurisdicionada implementá-las ou justificar a não oportunidade ou inviabilidade de sua adoção.</w:t>
      </w:r>
    </w:p>
    <w:p w14:paraId="3D9F319F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Parágrafo único. As recomendações devem se basear em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critérios, tais como boas práticas, técnicas de comparação (benchmarks), publicações de estudos, normativos de outros entes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e, preferencialmente, atuar sobre a principal causa do problema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quando tenha sido possível identificá-la.</w:t>
      </w:r>
    </w:p>
    <w:p w14:paraId="69234A06" w14:textId="77777777" w:rsidR="00B223FF" w:rsidRDefault="00B223FF" w:rsidP="00B223FF">
      <w:pPr>
        <w:spacing w:after="0"/>
        <w:jc w:val="both"/>
        <w:rPr>
          <w:rFonts w:ascii="Arial" w:hAnsi="Arial" w:cs="Arial"/>
        </w:rPr>
      </w:pPr>
    </w:p>
    <w:p w14:paraId="1F3F6AA5" w14:textId="6EA27304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Art. 8º Para a formulação da proposta de recomendação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deverão ser observadas as seguintes condições:</w:t>
      </w:r>
    </w:p>
    <w:p w14:paraId="5EEAF329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 - </w:t>
      </w:r>
      <w:proofErr w:type="gramStart"/>
      <w:r w:rsidRPr="001360C8">
        <w:rPr>
          <w:rFonts w:ascii="Arial" w:hAnsi="Arial" w:cs="Arial"/>
        </w:rPr>
        <w:t>atuar</w:t>
      </w:r>
      <w:proofErr w:type="gramEnd"/>
      <w:r w:rsidRPr="001360C8">
        <w:rPr>
          <w:rFonts w:ascii="Arial" w:hAnsi="Arial" w:cs="Arial"/>
        </w:rPr>
        <w:t xml:space="preserve"> diretamente nas causas do problema;</w:t>
      </w:r>
    </w:p>
    <w:p w14:paraId="767F6713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II - </w:t>
      </w:r>
      <w:proofErr w:type="gramStart"/>
      <w:r w:rsidRPr="001360C8">
        <w:rPr>
          <w:rFonts w:ascii="Arial" w:hAnsi="Arial" w:cs="Arial"/>
        </w:rPr>
        <w:t>contribuir</w:t>
      </w:r>
      <w:proofErr w:type="gramEnd"/>
      <w:r w:rsidRPr="001360C8">
        <w:rPr>
          <w:rFonts w:ascii="Arial" w:hAnsi="Arial" w:cs="Arial"/>
        </w:rPr>
        <w:t xml:space="preserve"> para que o tratamento das causas dos problemas agregue valor à unidade jurisdicionada, baixando custos,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simplificando processos de trabalho, melhorando a qualidade 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o volume dos serviços ou aprimorando a eficácia e os benefícios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para a sociedade;</w:t>
      </w:r>
    </w:p>
    <w:p w14:paraId="10A2356C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III - considerar os requisitos de viabilidade prática, objetividade e motivação, indicando ações que não impliquem obstáculos de ordem legal, financeira, operacional, temporal, de pessoal e outros que inviabilizem a implementação das medidas;</w:t>
      </w:r>
    </w:p>
    <w:p w14:paraId="39E82AE7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IV - </w:t>
      </w:r>
      <w:proofErr w:type="gramStart"/>
      <w:r w:rsidRPr="001360C8">
        <w:rPr>
          <w:rFonts w:ascii="Arial" w:hAnsi="Arial" w:cs="Arial"/>
        </w:rPr>
        <w:t>apresentar</w:t>
      </w:r>
      <w:proofErr w:type="gramEnd"/>
      <w:r w:rsidRPr="001360C8">
        <w:rPr>
          <w:rFonts w:ascii="Arial" w:hAnsi="Arial" w:cs="Arial"/>
        </w:rPr>
        <w:t xml:space="preserve"> boa relação custo-benefício e considerar as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eventuais alternativas propostas pela unidade jurisdicionada; e</w:t>
      </w:r>
    </w:p>
    <w:p w14:paraId="1AC2C260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V - </w:t>
      </w:r>
      <w:proofErr w:type="gramStart"/>
      <w:r w:rsidRPr="001360C8">
        <w:rPr>
          <w:rFonts w:ascii="Arial" w:hAnsi="Arial" w:cs="Arial"/>
        </w:rPr>
        <w:t>apontar</w:t>
      </w:r>
      <w:proofErr w:type="gramEnd"/>
      <w:r w:rsidRPr="001360C8">
        <w:rPr>
          <w:rFonts w:ascii="Arial" w:hAnsi="Arial" w:cs="Arial"/>
        </w:rPr>
        <w:t xml:space="preserve"> oportunidades de melhoria relevantes, indicando o que pode ser feito e o resultado esperado, sem descrever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aspectos procedimentais afetos à competência da unidade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jurisdicionada.</w:t>
      </w:r>
    </w:p>
    <w:p w14:paraId="3CA7AA47" w14:textId="09DBC5D7" w:rsidR="00B223FF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lastRenderedPageBreak/>
        <w:t>Parágrafo único. As recomendações não devem se basear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exclusivamente em critérios que contenham elevada carga de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abstração teórica ou conceitos jurídicos indeterminados, permitindo enquadrar apontamentos de múltiplas espécies ou ordens.</w:t>
      </w:r>
    </w:p>
    <w:p w14:paraId="4F416DAB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</w:p>
    <w:p w14:paraId="073C31A0" w14:textId="1C192B8A" w:rsidR="00B223FF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Art. 9º Aplica-se às recomendações o disposto no art. 5º,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incisos III, IV, V, VI, VII, VIII e IX.</w:t>
      </w:r>
    </w:p>
    <w:p w14:paraId="0CA80EA0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</w:p>
    <w:p w14:paraId="2B4873B5" w14:textId="77777777" w:rsidR="00B223FF" w:rsidRPr="00BF15BB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  <w:r w:rsidRPr="00BF15BB">
        <w:rPr>
          <w:rFonts w:ascii="Arial" w:hAnsi="Arial" w:cs="Arial"/>
          <w:b/>
          <w:bCs/>
        </w:rPr>
        <w:t>CAPÍTULO IV</w:t>
      </w:r>
    </w:p>
    <w:p w14:paraId="158BC385" w14:textId="2645BA29" w:rsidR="00B223FF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  <w:r w:rsidRPr="00BF15BB">
        <w:rPr>
          <w:rFonts w:ascii="Arial" w:hAnsi="Arial" w:cs="Arial"/>
          <w:b/>
          <w:bCs/>
        </w:rPr>
        <w:t>DA CIÊNCIA</w:t>
      </w:r>
    </w:p>
    <w:p w14:paraId="5C038CE9" w14:textId="77777777" w:rsidR="00B223FF" w:rsidRPr="00BF15BB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</w:p>
    <w:p w14:paraId="2DD873D9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Art. 10. A ciência destina-se a reorientar a atuação administrativa do jurisdicionado e evitar a repetição de irregularidade.</w:t>
      </w:r>
    </w:p>
    <w:p w14:paraId="63E11DF4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Parágrafo único. A ciência não será objeto de monitoramento.</w:t>
      </w:r>
    </w:p>
    <w:p w14:paraId="66B8E40F" w14:textId="77777777" w:rsidR="00B223FF" w:rsidRDefault="00B223FF" w:rsidP="00B223FF">
      <w:pPr>
        <w:spacing w:after="0"/>
        <w:jc w:val="both"/>
        <w:rPr>
          <w:rFonts w:ascii="Arial" w:hAnsi="Arial" w:cs="Arial"/>
        </w:rPr>
      </w:pPr>
    </w:p>
    <w:p w14:paraId="4E46F67A" w14:textId="5E11F4EE" w:rsidR="00B223FF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Art. 11. Aplicam-se às ciências as disposições contidas no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art. 5º, incisos I, III, V, VII e IX, e no art. 6º, incisos I e IV.</w:t>
      </w:r>
    </w:p>
    <w:p w14:paraId="71EE345C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</w:p>
    <w:p w14:paraId="136A822F" w14:textId="77777777" w:rsidR="00B223FF" w:rsidRPr="00BF15BB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  <w:r w:rsidRPr="00BF15BB">
        <w:rPr>
          <w:rFonts w:ascii="Arial" w:hAnsi="Arial" w:cs="Arial"/>
          <w:b/>
          <w:bCs/>
        </w:rPr>
        <w:t>CAPÍTULO V</w:t>
      </w:r>
    </w:p>
    <w:p w14:paraId="78111312" w14:textId="5A5BAED2" w:rsidR="00B223FF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  <w:r w:rsidRPr="00BF15BB">
        <w:rPr>
          <w:rFonts w:ascii="Arial" w:hAnsi="Arial" w:cs="Arial"/>
          <w:b/>
          <w:bCs/>
        </w:rPr>
        <w:t>DOS PROCEDIMENTOS INTERNOS</w:t>
      </w:r>
    </w:p>
    <w:p w14:paraId="0A4EA2CE" w14:textId="77777777" w:rsidR="00B223FF" w:rsidRPr="00BF15BB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</w:p>
    <w:p w14:paraId="42159D1D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Art. 12. Os Órgãos Técnicos poderão, observado o fluxo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constante do Anexo II, propor a expedição de determinação,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recomendação, ciência ou eventual aplicação de sanção, a serem ratificadas e/ou modificadas pelo Juiz Singular, pelo Relator,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pelas Câmaras ou pelo Tribunal Pleno.</w:t>
      </w:r>
    </w:p>
    <w:p w14:paraId="523939E0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§ 1º Excepcionalmente, no caso de situações em que 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implementação das providências imediatas necessárias para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prevenir ou corrigir irregularidade, ou remover seus efeitos, não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seja factível, poderá ser proposta determinação visando à elaboração de plano de ação, que deve conter, no mínimo:</w:t>
      </w:r>
    </w:p>
    <w:p w14:paraId="786E2621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 - </w:t>
      </w:r>
      <w:proofErr w:type="gramStart"/>
      <w:r w:rsidRPr="001360C8">
        <w:rPr>
          <w:rFonts w:ascii="Arial" w:hAnsi="Arial" w:cs="Arial"/>
        </w:rPr>
        <w:t>as</w:t>
      </w:r>
      <w:proofErr w:type="gramEnd"/>
      <w:r w:rsidRPr="001360C8">
        <w:rPr>
          <w:rFonts w:ascii="Arial" w:hAnsi="Arial" w:cs="Arial"/>
        </w:rPr>
        <w:t xml:space="preserve"> ações a serem tomadas;</w:t>
      </w:r>
    </w:p>
    <w:p w14:paraId="34B9C570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II - </w:t>
      </w:r>
      <w:proofErr w:type="gramStart"/>
      <w:r w:rsidRPr="001360C8">
        <w:rPr>
          <w:rFonts w:ascii="Arial" w:hAnsi="Arial" w:cs="Arial"/>
        </w:rPr>
        <w:t>os</w:t>
      </w:r>
      <w:proofErr w:type="gramEnd"/>
      <w:r w:rsidRPr="001360C8">
        <w:rPr>
          <w:rFonts w:ascii="Arial" w:hAnsi="Arial" w:cs="Arial"/>
        </w:rPr>
        <w:t xml:space="preserve"> responsáveis pelas ações; e</w:t>
      </w:r>
    </w:p>
    <w:p w14:paraId="55D8207E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III - os prazos para implementação.</w:t>
      </w:r>
    </w:p>
    <w:p w14:paraId="5F637490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§ 2º Cabe às instâncias de revisão, no âmbito das unidades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técnicas instrutivas, a verificação do atendimento ao disposto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nesta resolução.</w:t>
      </w:r>
    </w:p>
    <w:p w14:paraId="77880CDB" w14:textId="77777777" w:rsidR="00B223FF" w:rsidRDefault="00B223FF" w:rsidP="00B223FF">
      <w:pPr>
        <w:spacing w:after="0"/>
        <w:jc w:val="both"/>
        <w:rPr>
          <w:rFonts w:ascii="Arial" w:hAnsi="Arial" w:cs="Arial"/>
        </w:rPr>
      </w:pPr>
    </w:p>
    <w:p w14:paraId="057B9CA5" w14:textId="05C87DA0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Art. 13. As determinações, recomendações e ciências, ainda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que atendam às exigências previstas nesta Resolução, serão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expedidas, a critério do Juiz Singular, do Relator, das Câmaras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e do Tribunal Pleno, quando imprescindíveis às finalidades do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controle e para as deficiências identificadas que, se não tratadas, comprometam a gestão.</w:t>
      </w:r>
    </w:p>
    <w:p w14:paraId="07823801" w14:textId="77777777" w:rsidR="00B223FF" w:rsidRDefault="00B223FF" w:rsidP="00B223FF">
      <w:pPr>
        <w:spacing w:after="0"/>
        <w:jc w:val="both"/>
        <w:rPr>
          <w:rFonts w:ascii="Arial" w:hAnsi="Arial" w:cs="Arial"/>
        </w:rPr>
      </w:pPr>
    </w:p>
    <w:p w14:paraId="723521BB" w14:textId="3962346E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Art. 14. O Juiz Singular, o Relator, as Câmaras e o Tribunal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Pleno poderão dispensar a formulação de deliberações se, entre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outras hipóteses:</w:t>
      </w:r>
    </w:p>
    <w:p w14:paraId="7B5C012F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 - </w:t>
      </w:r>
      <w:proofErr w:type="gramStart"/>
      <w:r w:rsidRPr="001360C8">
        <w:rPr>
          <w:rFonts w:ascii="Arial" w:hAnsi="Arial" w:cs="Arial"/>
        </w:rPr>
        <w:t>a</w:t>
      </w:r>
      <w:proofErr w:type="gramEnd"/>
      <w:r w:rsidRPr="001360C8">
        <w:rPr>
          <w:rFonts w:ascii="Arial" w:hAnsi="Arial" w:cs="Arial"/>
        </w:rPr>
        <w:t xml:space="preserve"> situação não exigir urgência no tratamento e for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favorável a tendência de que se resolva sem a imposição de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medidas pelo Tribunal, notadamente em decorrência de nova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regulamentação da matéria, de reestruturação administrativa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da unidade, do aperfeiçoamento dos controles internos ou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de outros fatores que evidenciem um contexto institucional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superveniente capaz de inibir a ocorrência ou reiteração da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irregularidade, ou de produzir os aprimoramentos desejados da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atuação administrativa; ou</w:t>
      </w:r>
    </w:p>
    <w:p w14:paraId="13A66AD4" w14:textId="001DBE0A" w:rsidR="00B223FF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II - </w:t>
      </w:r>
      <w:proofErr w:type="gramStart"/>
      <w:r w:rsidRPr="001360C8">
        <w:rPr>
          <w:rFonts w:ascii="Arial" w:hAnsi="Arial" w:cs="Arial"/>
        </w:rPr>
        <w:t>o</w:t>
      </w:r>
      <w:proofErr w:type="gramEnd"/>
      <w:r w:rsidRPr="001360C8">
        <w:rPr>
          <w:rFonts w:ascii="Arial" w:hAnsi="Arial" w:cs="Arial"/>
        </w:rPr>
        <w:t xml:space="preserve"> longo tempo decorrido comprometer a atualidade da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ação de controle, não houver indícios de persistência da irregularidade e for baixa a probabilidade de repetição.</w:t>
      </w:r>
    </w:p>
    <w:p w14:paraId="10103990" w14:textId="597CF811" w:rsidR="00B223FF" w:rsidRDefault="00B223FF" w:rsidP="00B223FF">
      <w:pPr>
        <w:spacing w:after="0"/>
        <w:jc w:val="both"/>
        <w:rPr>
          <w:rFonts w:ascii="Arial" w:hAnsi="Arial" w:cs="Arial"/>
        </w:rPr>
      </w:pPr>
    </w:p>
    <w:p w14:paraId="2A459992" w14:textId="4B214995" w:rsidR="00B223FF" w:rsidRDefault="00B223FF" w:rsidP="00B223FF">
      <w:pPr>
        <w:spacing w:after="0"/>
        <w:jc w:val="both"/>
        <w:rPr>
          <w:rFonts w:ascii="Arial" w:hAnsi="Arial" w:cs="Arial"/>
        </w:rPr>
      </w:pPr>
    </w:p>
    <w:p w14:paraId="5710C746" w14:textId="39B9A2B8" w:rsidR="00B223FF" w:rsidRDefault="00B223FF" w:rsidP="00B223FF">
      <w:pPr>
        <w:spacing w:after="0"/>
        <w:jc w:val="both"/>
        <w:rPr>
          <w:rFonts w:ascii="Arial" w:hAnsi="Arial" w:cs="Arial"/>
        </w:rPr>
      </w:pPr>
    </w:p>
    <w:p w14:paraId="21A441F7" w14:textId="77777777" w:rsidR="00B223FF" w:rsidRDefault="00B223FF" w:rsidP="00B223FF">
      <w:pPr>
        <w:spacing w:after="0"/>
        <w:jc w:val="both"/>
        <w:rPr>
          <w:rFonts w:ascii="Arial" w:hAnsi="Arial" w:cs="Arial"/>
        </w:rPr>
      </w:pPr>
    </w:p>
    <w:p w14:paraId="2A195A75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</w:p>
    <w:p w14:paraId="725CF924" w14:textId="77777777" w:rsidR="00B223FF" w:rsidRPr="00BF15BB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  <w:r w:rsidRPr="00BF15BB">
        <w:rPr>
          <w:rFonts w:ascii="Arial" w:hAnsi="Arial" w:cs="Arial"/>
          <w:b/>
          <w:bCs/>
        </w:rPr>
        <w:lastRenderedPageBreak/>
        <w:t>CAPÍTULO VI</w:t>
      </w:r>
    </w:p>
    <w:p w14:paraId="73CEC7C5" w14:textId="29AFFFBD" w:rsidR="00B223FF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  <w:r w:rsidRPr="00BF15BB">
        <w:rPr>
          <w:rFonts w:ascii="Arial" w:hAnsi="Arial" w:cs="Arial"/>
          <w:b/>
          <w:bCs/>
        </w:rPr>
        <w:t>DAS DISPOSIÇÕES FINAIS</w:t>
      </w:r>
    </w:p>
    <w:p w14:paraId="5FF2C934" w14:textId="77777777" w:rsidR="00B223FF" w:rsidRPr="00BF15BB" w:rsidRDefault="00B223FF" w:rsidP="00B223FF">
      <w:pPr>
        <w:spacing w:after="0"/>
        <w:jc w:val="center"/>
        <w:rPr>
          <w:rFonts w:ascii="Arial" w:hAnsi="Arial" w:cs="Arial"/>
          <w:b/>
          <w:bCs/>
        </w:rPr>
      </w:pPr>
    </w:p>
    <w:p w14:paraId="5ED2CDC5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Art. 15. O monitoramento de todas as determinações 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recomendações será feito pelo sistema DIÁLOGO e regulamentado por resolução a ser emitida com essa finalidade.</w:t>
      </w:r>
    </w:p>
    <w:p w14:paraId="582CEC7C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§ 1º Ficam dispensadas de monitoramento as recomendações proferidas em deliberações prolatadas há mais de três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anos, salvo manifestação em contrário.</w:t>
      </w:r>
    </w:p>
    <w:p w14:paraId="4E793CCB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§ 2º As determinações e recomendações existentes na data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de aprovação desta resolução poderão ser reescritas e/ou reiteradas se atenderem ao disposto nos artigos 4º ao 9º, 12 a 14.</w:t>
      </w:r>
    </w:p>
    <w:p w14:paraId="0C3C302B" w14:textId="77777777" w:rsidR="00B223FF" w:rsidRDefault="00B223FF" w:rsidP="00B223FF">
      <w:pPr>
        <w:spacing w:after="0"/>
        <w:jc w:val="both"/>
        <w:rPr>
          <w:rFonts w:ascii="Arial" w:hAnsi="Arial" w:cs="Arial"/>
        </w:rPr>
      </w:pPr>
    </w:p>
    <w:p w14:paraId="1C1E193B" w14:textId="35836165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Art. 16. Fica a Secretaria Geral autorizada a expedir e modificar os atos necessários à operacionalização desta resolução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no âmbito de sua atuação, desde que informado ao Colegiado.</w:t>
      </w:r>
    </w:p>
    <w:p w14:paraId="23AD6C53" w14:textId="77777777" w:rsidR="00B223FF" w:rsidRDefault="00B223FF" w:rsidP="00B223FF">
      <w:pPr>
        <w:spacing w:after="0"/>
        <w:jc w:val="both"/>
        <w:rPr>
          <w:rFonts w:ascii="Arial" w:hAnsi="Arial" w:cs="Arial"/>
        </w:rPr>
      </w:pPr>
    </w:p>
    <w:p w14:paraId="49BAABF9" w14:textId="4F2171E9" w:rsidR="00B223FF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Art. 17. Esta Resolução entra em vigor na data de sua publicação, revogadas as disposições em contrário.</w:t>
      </w:r>
    </w:p>
    <w:p w14:paraId="511BD59B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</w:p>
    <w:p w14:paraId="19644A7F" w14:textId="77777777" w:rsidR="00B223FF" w:rsidRPr="00BF15BB" w:rsidRDefault="00B223FF" w:rsidP="00B223F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F15BB">
        <w:rPr>
          <w:rFonts w:ascii="Arial" w:hAnsi="Arial" w:cs="Arial"/>
          <w:sz w:val="18"/>
          <w:szCs w:val="18"/>
        </w:rPr>
        <w:t>Plenário Conselheiro “Paulo Planet Buarque”, 06 de abril de 2022.</w:t>
      </w:r>
    </w:p>
    <w:p w14:paraId="378AB836" w14:textId="77777777" w:rsidR="00B223FF" w:rsidRPr="00BF15BB" w:rsidRDefault="00B223FF" w:rsidP="00B223FF">
      <w:pPr>
        <w:spacing w:after="0"/>
        <w:jc w:val="both"/>
        <w:rPr>
          <w:rFonts w:ascii="Arial" w:hAnsi="Arial" w:cs="Arial"/>
          <w:sz w:val="18"/>
          <w:szCs w:val="18"/>
        </w:rPr>
      </w:pPr>
      <w:r w:rsidRPr="00BF15BB">
        <w:rPr>
          <w:rFonts w:ascii="Arial" w:hAnsi="Arial" w:cs="Arial"/>
          <w:sz w:val="18"/>
          <w:szCs w:val="18"/>
        </w:rPr>
        <w:t>a) JOÃO ANTONIO – Conselheiro Presidente; a) EDUARDO TUMA – Conselheiro Vice-Presidente; a) ROBERTO BRAGUIM – Conselheiro Corregedor; a) MAURICIO FARIA – Conselheiro; a) DOMINGOS DISSEI – Conselheiro.</w:t>
      </w:r>
    </w:p>
    <w:p w14:paraId="76F95337" w14:textId="77777777" w:rsidR="00B223FF" w:rsidRDefault="00B223FF" w:rsidP="00B223FF">
      <w:pPr>
        <w:spacing w:after="0"/>
        <w:jc w:val="both"/>
        <w:rPr>
          <w:rFonts w:ascii="Arial" w:hAnsi="Arial" w:cs="Arial"/>
          <w:b/>
          <w:bCs/>
        </w:rPr>
      </w:pPr>
    </w:p>
    <w:p w14:paraId="5FC9D3CB" w14:textId="55FA6E2C" w:rsidR="00B223FF" w:rsidRDefault="00B223FF" w:rsidP="00B223FF">
      <w:pPr>
        <w:spacing w:after="0"/>
        <w:jc w:val="both"/>
        <w:rPr>
          <w:rFonts w:ascii="Arial" w:hAnsi="Arial" w:cs="Arial"/>
          <w:b/>
          <w:bCs/>
        </w:rPr>
      </w:pPr>
      <w:r w:rsidRPr="00B73D78">
        <w:rPr>
          <w:rFonts w:ascii="Arial" w:hAnsi="Arial" w:cs="Arial"/>
          <w:b/>
          <w:bCs/>
        </w:rPr>
        <w:t>ANEXO I DA RESOLUÇÃO nº XX/2022</w:t>
      </w:r>
    </w:p>
    <w:p w14:paraId="03617E4E" w14:textId="77777777" w:rsidR="00B223FF" w:rsidRPr="00B73D78" w:rsidRDefault="00B223FF" w:rsidP="00B223FF">
      <w:pPr>
        <w:spacing w:after="0"/>
        <w:jc w:val="both"/>
        <w:rPr>
          <w:rFonts w:ascii="Arial" w:hAnsi="Arial" w:cs="Arial"/>
          <w:b/>
          <w:bCs/>
        </w:rPr>
      </w:pPr>
    </w:p>
    <w:p w14:paraId="5CCF0D54" w14:textId="4E373487" w:rsidR="00B223FF" w:rsidRDefault="00B223FF" w:rsidP="00B223F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73D78">
        <w:rPr>
          <w:rFonts w:ascii="Arial" w:hAnsi="Arial" w:cs="Arial"/>
          <w:b/>
          <w:bCs/>
          <w:i/>
          <w:iCs/>
        </w:rPr>
        <w:t>MODELOS DE DETERMINAÇÃO</w:t>
      </w:r>
    </w:p>
    <w:p w14:paraId="36E6EFBE" w14:textId="77777777" w:rsidR="00B223FF" w:rsidRPr="00B73D78" w:rsidRDefault="00B223FF" w:rsidP="00B223F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E3F2FA7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Requisitos:</w:t>
      </w:r>
    </w:p>
    <w:p w14:paraId="2913CEDE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– </w:t>
      </w:r>
      <w:proofErr w:type="gramStart"/>
      <w:r w:rsidRPr="001360C8">
        <w:rPr>
          <w:rFonts w:ascii="Arial" w:hAnsi="Arial" w:cs="Arial"/>
        </w:rPr>
        <w:t>comando</w:t>
      </w:r>
      <w:proofErr w:type="gramEnd"/>
      <w:r w:rsidRPr="001360C8">
        <w:rPr>
          <w:rFonts w:ascii="Arial" w:hAnsi="Arial" w:cs="Arial"/>
        </w:rPr>
        <w:t xml:space="preserve"> que visa à adoção de providências corretivas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decorrentes de infringências a leis, normas ou contratos (art.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2º, inc. I);</w:t>
      </w:r>
    </w:p>
    <w:p w14:paraId="77F3F323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– </w:t>
      </w:r>
      <w:proofErr w:type="gramStart"/>
      <w:r w:rsidRPr="001360C8">
        <w:rPr>
          <w:rFonts w:ascii="Arial" w:hAnsi="Arial" w:cs="Arial"/>
        </w:rPr>
        <w:t>devem</w:t>
      </w:r>
      <w:proofErr w:type="gramEnd"/>
      <w:r w:rsidRPr="001360C8">
        <w:rPr>
          <w:rFonts w:ascii="Arial" w:hAnsi="Arial" w:cs="Arial"/>
        </w:rPr>
        <w:t xml:space="preserve"> observar as exigências previstas no art. 5º:</w:t>
      </w:r>
    </w:p>
    <w:p w14:paraId="64C37368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 - </w:t>
      </w:r>
      <w:proofErr w:type="gramStart"/>
      <w:r w:rsidRPr="001360C8">
        <w:rPr>
          <w:rFonts w:ascii="Arial" w:hAnsi="Arial" w:cs="Arial"/>
        </w:rPr>
        <w:t>indicar</w:t>
      </w:r>
      <w:proofErr w:type="gramEnd"/>
      <w:r w:rsidRPr="001360C8">
        <w:rPr>
          <w:rFonts w:ascii="Arial" w:hAnsi="Arial" w:cs="Arial"/>
        </w:rPr>
        <w:t xml:space="preserve"> o critério constitucional, legal ou regulamentar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infringido;</w:t>
      </w:r>
    </w:p>
    <w:p w14:paraId="392F59FD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II - </w:t>
      </w:r>
      <w:proofErr w:type="gramStart"/>
      <w:r w:rsidRPr="001360C8">
        <w:rPr>
          <w:rFonts w:ascii="Arial" w:hAnsi="Arial" w:cs="Arial"/>
        </w:rPr>
        <w:t>conter</w:t>
      </w:r>
      <w:proofErr w:type="gramEnd"/>
      <w:r w:rsidRPr="001360C8">
        <w:rPr>
          <w:rFonts w:ascii="Arial" w:hAnsi="Arial" w:cs="Arial"/>
        </w:rPr>
        <w:t xml:space="preserve"> prazo para cumprimento;</w:t>
      </w:r>
    </w:p>
    <w:p w14:paraId="689C0664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III - possuir redação objetiva, clara, concisa, precisa e ordenada de maneira lógica;</w:t>
      </w:r>
    </w:p>
    <w:p w14:paraId="44AE0F1B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IV - </w:t>
      </w:r>
      <w:proofErr w:type="gramStart"/>
      <w:r w:rsidRPr="001360C8">
        <w:rPr>
          <w:rFonts w:ascii="Arial" w:hAnsi="Arial" w:cs="Arial"/>
        </w:rPr>
        <w:t>priorizar</w:t>
      </w:r>
      <w:proofErr w:type="gramEnd"/>
      <w:r w:rsidRPr="001360C8">
        <w:rPr>
          <w:rFonts w:ascii="Arial" w:hAnsi="Arial" w:cs="Arial"/>
        </w:rPr>
        <w:t xml:space="preserve"> aspectos mais relevantes, com vistas à correção das principais deficiências identificadas;</w:t>
      </w:r>
    </w:p>
    <w:p w14:paraId="64866469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V - </w:t>
      </w:r>
      <w:proofErr w:type="gramStart"/>
      <w:r w:rsidRPr="001360C8">
        <w:rPr>
          <w:rFonts w:ascii="Arial" w:hAnsi="Arial" w:cs="Arial"/>
        </w:rPr>
        <w:t>estar</w:t>
      </w:r>
      <w:proofErr w:type="gramEnd"/>
      <w:r w:rsidRPr="001360C8">
        <w:rPr>
          <w:rFonts w:ascii="Arial" w:hAnsi="Arial" w:cs="Arial"/>
        </w:rPr>
        <w:t xml:space="preserve"> fundamentada nos fatos apontados e/ou na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análise efetuada no relatório e na instrução técnica e no voto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do relator;</w:t>
      </w:r>
    </w:p>
    <w:p w14:paraId="12C6F5AD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VI - </w:t>
      </w:r>
      <w:proofErr w:type="gramStart"/>
      <w:r w:rsidRPr="001360C8">
        <w:rPr>
          <w:rFonts w:ascii="Arial" w:hAnsi="Arial" w:cs="Arial"/>
        </w:rPr>
        <w:t>considerar</w:t>
      </w:r>
      <w:proofErr w:type="gramEnd"/>
      <w:r w:rsidRPr="001360C8">
        <w:rPr>
          <w:rFonts w:ascii="Arial" w:hAnsi="Arial" w:cs="Arial"/>
        </w:rPr>
        <w:t xml:space="preserve"> a viabilidade de sua implementação;</w:t>
      </w:r>
    </w:p>
    <w:p w14:paraId="75CBA60A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VII - tratar de matéria inserida no âmbito das competências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do Tribunal;</w:t>
      </w:r>
    </w:p>
    <w:p w14:paraId="20ADD6AE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VIII - ser mensuráveis, evitando a utilização de expressões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tais como “melhorar”, “reduzir”, “aprimorar”, “envidar esforços” etc.; e</w:t>
      </w:r>
    </w:p>
    <w:p w14:paraId="48118D3A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IX - </w:t>
      </w:r>
      <w:proofErr w:type="gramStart"/>
      <w:r w:rsidRPr="001360C8">
        <w:rPr>
          <w:rFonts w:ascii="Arial" w:hAnsi="Arial" w:cs="Arial"/>
        </w:rPr>
        <w:t>identificar</w:t>
      </w:r>
      <w:proofErr w:type="gramEnd"/>
      <w:r w:rsidRPr="001360C8">
        <w:rPr>
          <w:rFonts w:ascii="Arial" w:hAnsi="Arial" w:cs="Arial"/>
        </w:rPr>
        <w:t xml:space="preserve"> com precisão a unidade jurisdicionada destinatária das medidas.</w:t>
      </w:r>
    </w:p>
    <w:p w14:paraId="03FC59AA" w14:textId="77777777" w:rsidR="00B223FF" w:rsidRDefault="00B223FF" w:rsidP="00B223F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463D6DD" w14:textId="5488178D" w:rsidR="00B223FF" w:rsidRPr="00B73D78" w:rsidRDefault="00B223FF" w:rsidP="00B223F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73D78">
        <w:rPr>
          <w:rFonts w:ascii="Arial" w:hAnsi="Arial" w:cs="Arial"/>
          <w:b/>
          <w:bCs/>
          <w:i/>
          <w:iCs/>
        </w:rPr>
        <w:t>Modelo 1 – Uso geral:</w:t>
      </w:r>
    </w:p>
    <w:p w14:paraId="6536D298" w14:textId="77777777" w:rsidR="00B223FF" w:rsidRPr="00B73D78" w:rsidRDefault="00B223FF" w:rsidP="00B223FF">
      <w:pPr>
        <w:spacing w:after="0"/>
        <w:jc w:val="both"/>
        <w:rPr>
          <w:rFonts w:ascii="Arial" w:hAnsi="Arial" w:cs="Arial"/>
          <w:b/>
          <w:bCs/>
        </w:rPr>
      </w:pPr>
      <w:r w:rsidRPr="00B73D78">
        <w:rPr>
          <w:rFonts w:ascii="Arial" w:hAnsi="Arial" w:cs="Arial"/>
          <w:b/>
          <w:bCs/>
        </w:rPr>
        <w:t>• Irregularidade única</w:t>
      </w:r>
    </w:p>
    <w:p w14:paraId="033A0A28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Determinar ao(s) [órgão(s)/entidade(s)/unidade(s)], que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adote(m), no prazo de [prazo concedido para o cumprimento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da determinação], providências com vistas a [indicação da ação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e descrição da situação a ser regularizada], por estar em desacordo com [fundamentação legal/normativa ou jurisprudencial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infringida];</w:t>
      </w:r>
    </w:p>
    <w:p w14:paraId="64A45A73" w14:textId="77777777" w:rsidR="00B223FF" w:rsidRPr="00B73D78" w:rsidRDefault="00B223FF" w:rsidP="00B223FF">
      <w:pPr>
        <w:spacing w:after="0"/>
        <w:jc w:val="both"/>
        <w:rPr>
          <w:rFonts w:ascii="Arial" w:hAnsi="Arial" w:cs="Arial"/>
          <w:b/>
          <w:bCs/>
        </w:rPr>
      </w:pPr>
      <w:r w:rsidRPr="00B73D78">
        <w:rPr>
          <w:rFonts w:ascii="Arial" w:hAnsi="Arial" w:cs="Arial"/>
          <w:b/>
          <w:bCs/>
        </w:rPr>
        <w:t>• Mais de uma ocorrência de irregularidade</w:t>
      </w:r>
    </w:p>
    <w:p w14:paraId="102ED748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Determinar ao(s) [órgão(s)/entidade(s)/unidade(s)], que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adote(m), no prazo de [prazo concedido para o cumprimento da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determinação], as seguintes providências:</w:t>
      </w:r>
    </w:p>
    <w:p w14:paraId="7005A60B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lastRenderedPageBreak/>
        <w:t>a) [indicação da ação e descrição da situação a ser regularizada A], por estar em desacordo com [fundamentação legal/normativa ou jurisprudencial infringida];</w:t>
      </w:r>
    </w:p>
    <w:p w14:paraId="23BFD960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b) [indicação da ação e descrição da situação a ser regularizada B], por estar em desacordo com [fundamentação legal/normativa ou jurisprudencial infringida];</w:t>
      </w:r>
    </w:p>
    <w:p w14:paraId="75A1CA2F" w14:textId="77777777" w:rsidR="00B223FF" w:rsidRDefault="00B223FF" w:rsidP="00B223F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2030893" w14:textId="03086F48" w:rsidR="00B223FF" w:rsidRPr="00B73D78" w:rsidRDefault="00B223FF" w:rsidP="00B223F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73D78">
        <w:rPr>
          <w:rFonts w:ascii="Arial" w:hAnsi="Arial" w:cs="Arial"/>
          <w:b/>
          <w:bCs/>
          <w:i/>
          <w:iCs/>
        </w:rPr>
        <w:t>Modelo 2 - Plano de ação, art. 12, § 1º:</w:t>
      </w:r>
    </w:p>
    <w:p w14:paraId="196CBAEF" w14:textId="77777777" w:rsidR="00B223FF" w:rsidRPr="00B73D78" w:rsidRDefault="00B223FF" w:rsidP="00B223FF">
      <w:pPr>
        <w:spacing w:after="0"/>
        <w:jc w:val="both"/>
        <w:rPr>
          <w:rFonts w:ascii="Arial" w:hAnsi="Arial" w:cs="Arial"/>
          <w:b/>
          <w:bCs/>
        </w:rPr>
      </w:pPr>
      <w:r w:rsidRPr="00B73D78">
        <w:rPr>
          <w:rFonts w:ascii="Arial" w:hAnsi="Arial" w:cs="Arial"/>
          <w:b/>
          <w:bCs/>
        </w:rPr>
        <w:t>• Ação única</w:t>
      </w:r>
    </w:p>
    <w:p w14:paraId="7B4C19E5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Determinar ao(s) [órgão(s)/entidade(s)/unidade(s)], que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apresente(m) a este Tribunal, no prazo de [prazo concedido para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 apresentação do plano de ação], plano de ação com vistas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 [descrição do problema a ser saneado] por estar em desacordo com [fundamentação legal/normativa ou jurisprudencial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infringida], contendo, no mínimo, as ações a serem adotadas,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os responsáveis pelas ações e o prazo previsto para a sua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implementação;</w:t>
      </w:r>
    </w:p>
    <w:p w14:paraId="318A5370" w14:textId="77777777" w:rsidR="00B223FF" w:rsidRDefault="00B223FF" w:rsidP="00B223FF">
      <w:pPr>
        <w:spacing w:after="0"/>
        <w:jc w:val="both"/>
        <w:rPr>
          <w:rFonts w:ascii="Arial" w:hAnsi="Arial" w:cs="Arial"/>
        </w:rPr>
      </w:pPr>
      <w:r w:rsidRPr="00B73D78">
        <w:rPr>
          <w:rFonts w:ascii="Arial" w:hAnsi="Arial" w:cs="Arial"/>
          <w:b/>
          <w:bCs/>
        </w:rPr>
        <w:t>• Mais de uma ação a ser implementada</w:t>
      </w:r>
      <w:r w:rsidRPr="001360C8">
        <w:rPr>
          <w:rFonts w:ascii="Arial" w:hAnsi="Arial" w:cs="Arial"/>
        </w:rPr>
        <w:t xml:space="preserve"> </w:t>
      </w:r>
    </w:p>
    <w:p w14:paraId="22AFC33C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Determinar ao(s) [órgão(s)/entidade(s)/unidade(s)], que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apresente(m) a este Tribunal, no prazo de [prazo concedido para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 apresentação do plano de ação], plano de ação com vistas 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sanear os problemas, a seguir identificados, contendo, no mínimo, as ações a serem adotadas, os responsáveis pelas ações e 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prazo previsto para implementação:</w:t>
      </w:r>
    </w:p>
    <w:p w14:paraId="4BE19C94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a) [descrição do problema identificado A] por estar em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desacordo com [fundamentação legal/normativa ou jurisprudencial infringida];</w:t>
      </w:r>
    </w:p>
    <w:p w14:paraId="2940B40E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b) [descrição do problema identificado B] por estar em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desacordo com [fundamentação legal/normativa ou jurisprudencial infringida]; e</w:t>
      </w:r>
    </w:p>
    <w:p w14:paraId="32485235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c) [descrição do problema identificado C] por estar em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desacordo com [fundamentação legal/normativa ou jurisprudencial infringida].</w:t>
      </w:r>
    </w:p>
    <w:p w14:paraId="701F7A8C" w14:textId="77777777" w:rsidR="00B223FF" w:rsidRDefault="00B223FF" w:rsidP="00B223FF">
      <w:pPr>
        <w:spacing w:after="0"/>
        <w:jc w:val="both"/>
        <w:rPr>
          <w:rFonts w:ascii="Arial" w:hAnsi="Arial" w:cs="Arial"/>
          <w:b/>
          <w:bCs/>
        </w:rPr>
      </w:pPr>
    </w:p>
    <w:p w14:paraId="1B867BEB" w14:textId="02AD457F" w:rsidR="00B223FF" w:rsidRDefault="00B223FF" w:rsidP="00B223FF">
      <w:pPr>
        <w:spacing w:after="0"/>
        <w:jc w:val="both"/>
        <w:rPr>
          <w:rFonts w:ascii="Arial" w:hAnsi="Arial" w:cs="Arial"/>
          <w:b/>
          <w:bCs/>
        </w:rPr>
      </w:pPr>
      <w:r w:rsidRPr="001360C8">
        <w:rPr>
          <w:rFonts w:ascii="Arial" w:hAnsi="Arial" w:cs="Arial"/>
          <w:b/>
          <w:bCs/>
        </w:rPr>
        <w:t>MODELOS DE RECOMENDAÇÃO</w:t>
      </w:r>
    </w:p>
    <w:p w14:paraId="4C4FDDB2" w14:textId="77777777" w:rsidR="00B223FF" w:rsidRPr="001360C8" w:rsidRDefault="00B223FF" w:rsidP="00B223FF">
      <w:pPr>
        <w:spacing w:after="0"/>
        <w:jc w:val="both"/>
        <w:rPr>
          <w:rFonts w:ascii="Arial" w:hAnsi="Arial" w:cs="Arial"/>
          <w:b/>
          <w:bCs/>
        </w:rPr>
      </w:pPr>
    </w:p>
    <w:p w14:paraId="114CB6D9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Requisitos:</w:t>
      </w:r>
    </w:p>
    <w:p w14:paraId="470F5974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– </w:t>
      </w:r>
      <w:proofErr w:type="gramStart"/>
      <w:r w:rsidRPr="001360C8">
        <w:rPr>
          <w:rFonts w:ascii="Arial" w:hAnsi="Arial" w:cs="Arial"/>
        </w:rPr>
        <w:t>sugestão</w:t>
      </w:r>
      <w:proofErr w:type="gramEnd"/>
      <w:r w:rsidRPr="001360C8">
        <w:rPr>
          <w:rFonts w:ascii="Arial" w:hAnsi="Arial" w:cs="Arial"/>
        </w:rPr>
        <w:t xml:space="preserve"> de melhoria que visa corrigir falha de controle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ou aperfeiçoar a gestão (art. 2º, inc. II);</w:t>
      </w:r>
    </w:p>
    <w:p w14:paraId="32E7A0F1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– </w:t>
      </w:r>
      <w:proofErr w:type="gramStart"/>
      <w:r w:rsidRPr="001360C8">
        <w:rPr>
          <w:rFonts w:ascii="Arial" w:hAnsi="Arial" w:cs="Arial"/>
        </w:rPr>
        <w:t>devem</w:t>
      </w:r>
      <w:proofErr w:type="gramEnd"/>
      <w:r w:rsidRPr="001360C8">
        <w:rPr>
          <w:rFonts w:ascii="Arial" w:hAnsi="Arial" w:cs="Arial"/>
        </w:rPr>
        <w:t xml:space="preserve"> observar as exigências previstas nos </w:t>
      </w:r>
      <w:proofErr w:type="spellStart"/>
      <w:r w:rsidRPr="001360C8">
        <w:rPr>
          <w:rFonts w:ascii="Arial" w:hAnsi="Arial" w:cs="Arial"/>
        </w:rPr>
        <w:t>arts</w:t>
      </w:r>
      <w:proofErr w:type="spellEnd"/>
      <w:r w:rsidRPr="001360C8">
        <w:rPr>
          <w:rFonts w:ascii="Arial" w:hAnsi="Arial" w:cs="Arial"/>
        </w:rPr>
        <w:t>. 7º a 9º.</w:t>
      </w:r>
    </w:p>
    <w:p w14:paraId="1B658338" w14:textId="77777777" w:rsidR="00B223FF" w:rsidRDefault="00B223FF" w:rsidP="00B223F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B16034E" w14:textId="2EF8D739" w:rsidR="00B223FF" w:rsidRPr="00B73D78" w:rsidRDefault="00B223FF" w:rsidP="00B223F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73D78">
        <w:rPr>
          <w:rFonts w:ascii="Arial" w:hAnsi="Arial" w:cs="Arial"/>
          <w:b/>
          <w:bCs/>
          <w:i/>
          <w:iCs/>
        </w:rPr>
        <w:t>Modelos:</w:t>
      </w:r>
    </w:p>
    <w:p w14:paraId="1689CBAA" w14:textId="77777777" w:rsidR="00B223FF" w:rsidRPr="00B73D78" w:rsidRDefault="00B223FF" w:rsidP="00B223FF">
      <w:pPr>
        <w:spacing w:after="0"/>
        <w:jc w:val="both"/>
        <w:rPr>
          <w:rFonts w:ascii="Arial" w:hAnsi="Arial" w:cs="Arial"/>
          <w:b/>
          <w:bCs/>
        </w:rPr>
      </w:pPr>
      <w:r w:rsidRPr="00B73D78">
        <w:rPr>
          <w:rFonts w:ascii="Arial" w:hAnsi="Arial" w:cs="Arial"/>
          <w:b/>
          <w:bCs/>
        </w:rPr>
        <w:t>• Recomendação única</w:t>
      </w:r>
    </w:p>
    <w:p w14:paraId="3F56E3D8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Recomendar ao(s) [órgão(s)/entidade(s)/unidade(s)], que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avalie(m) a sugestão de [descrição da proposta de melhoria]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com vistas a [melhoria/aperfeiçoamento esperado];</w:t>
      </w:r>
    </w:p>
    <w:p w14:paraId="036F99F5" w14:textId="77777777" w:rsidR="00B223FF" w:rsidRPr="00B73D78" w:rsidRDefault="00B223FF" w:rsidP="00B223FF">
      <w:pPr>
        <w:spacing w:after="0"/>
        <w:jc w:val="both"/>
        <w:rPr>
          <w:rFonts w:ascii="Arial" w:hAnsi="Arial" w:cs="Arial"/>
          <w:b/>
          <w:bCs/>
        </w:rPr>
      </w:pPr>
      <w:r w:rsidRPr="00B73D78">
        <w:rPr>
          <w:rFonts w:ascii="Arial" w:hAnsi="Arial" w:cs="Arial"/>
          <w:b/>
          <w:bCs/>
        </w:rPr>
        <w:t>• Mais de uma recomendação</w:t>
      </w:r>
    </w:p>
    <w:p w14:paraId="6B72003A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Recomendar ao(s) [órgão(s)/entidade(s)/unidade(s)], que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avalie(m) a sugestão de adotar os seguintes procedimentos:</w:t>
      </w:r>
    </w:p>
    <w:p w14:paraId="0F7FA211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a) [descrição da proposta de melhoria A], com vistas a [melhoria/aperfeiçoamento esperado]; e </w:t>
      </w:r>
    </w:p>
    <w:p w14:paraId="2E79165B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b) [descrição da proposta de melhoria B], com vistas a [melhoria/aperfeiçoamento esperado].</w:t>
      </w:r>
    </w:p>
    <w:p w14:paraId="489E5270" w14:textId="77777777" w:rsidR="00B223FF" w:rsidRDefault="00B223FF" w:rsidP="00B223F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65B7307" w14:textId="7CCD7344" w:rsidR="00B223FF" w:rsidRDefault="00B223FF" w:rsidP="00B223F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73D78">
        <w:rPr>
          <w:rFonts w:ascii="Arial" w:hAnsi="Arial" w:cs="Arial"/>
          <w:b/>
          <w:bCs/>
          <w:i/>
          <w:iCs/>
        </w:rPr>
        <w:t>MODELOS DE CIÊNCIA</w:t>
      </w:r>
    </w:p>
    <w:p w14:paraId="70CBFD13" w14:textId="77777777" w:rsidR="00B223FF" w:rsidRPr="00B73D78" w:rsidRDefault="00B223FF" w:rsidP="00B223F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D58C8CF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Requisitos:</w:t>
      </w:r>
    </w:p>
    <w:p w14:paraId="421C6B04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– </w:t>
      </w:r>
      <w:proofErr w:type="gramStart"/>
      <w:r w:rsidRPr="001360C8">
        <w:rPr>
          <w:rFonts w:ascii="Arial" w:hAnsi="Arial" w:cs="Arial"/>
        </w:rPr>
        <w:t>referência</w:t>
      </w:r>
      <w:proofErr w:type="gramEnd"/>
      <w:r w:rsidRPr="001360C8">
        <w:rPr>
          <w:rFonts w:ascii="Arial" w:hAnsi="Arial" w:cs="Arial"/>
        </w:rPr>
        <w:t xml:space="preserve"> a falhas de controle/gestão ou descumprimento de leis, normas ou jurisprudências, consideradas de menor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relevância (art. 2º, inciso III);</w:t>
      </w:r>
    </w:p>
    <w:p w14:paraId="57424CAC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 xml:space="preserve">– </w:t>
      </w:r>
      <w:proofErr w:type="gramStart"/>
      <w:r w:rsidRPr="001360C8">
        <w:rPr>
          <w:rFonts w:ascii="Arial" w:hAnsi="Arial" w:cs="Arial"/>
        </w:rPr>
        <w:t>demais</w:t>
      </w:r>
      <w:proofErr w:type="gramEnd"/>
      <w:r w:rsidRPr="001360C8">
        <w:rPr>
          <w:rFonts w:ascii="Arial" w:hAnsi="Arial" w:cs="Arial"/>
        </w:rPr>
        <w:t xml:space="preserve"> requisitos definidos no art. 5º, incisos I, III, V, VII 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IX, e no art. 6º, incisos I e IV.</w:t>
      </w:r>
    </w:p>
    <w:p w14:paraId="33130490" w14:textId="77777777" w:rsidR="00B223FF" w:rsidRDefault="00B223FF" w:rsidP="00B223F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584429F" w14:textId="5CB8A807" w:rsidR="00B223FF" w:rsidRPr="00B73D78" w:rsidRDefault="00B223FF" w:rsidP="00B223F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73D78">
        <w:rPr>
          <w:rFonts w:ascii="Arial" w:hAnsi="Arial" w:cs="Arial"/>
          <w:b/>
          <w:bCs/>
          <w:i/>
          <w:iCs/>
        </w:rPr>
        <w:t>Modelos:</w:t>
      </w:r>
    </w:p>
    <w:p w14:paraId="5DFC82F6" w14:textId="77777777" w:rsidR="00B223FF" w:rsidRPr="00B73D78" w:rsidRDefault="00B223FF" w:rsidP="00B223FF">
      <w:pPr>
        <w:spacing w:after="0"/>
        <w:jc w:val="both"/>
        <w:rPr>
          <w:rFonts w:ascii="Arial" w:hAnsi="Arial" w:cs="Arial"/>
          <w:b/>
          <w:bCs/>
        </w:rPr>
      </w:pPr>
      <w:r w:rsidRPr="00B73D78">
        <w:rPr>
          <w:rFonts w:ascii="Arial" w:hAnsi="Arial" w:cs="Arial"/>
          <w:b/>
          <w:bCs/>
        </w:rPr>
        <w:t>• Impropriedade/falha única</w:t>
      </w:r>
    </w:p>
    <w:p w14:paraId="3B38EFDC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Dar ciência ao(s) [órgão(s)/entidade(s)/unidade(s)] sobre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[descrição da impropriedade/falha], identificada no [objeto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no qual se verifica a ocorrência], o que afronta o disposto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 xml:space="preserve">[fundamentação </w:t>
      </w:r>
      <w:r w:rsidRPr="001360C8">
        <w:rPr>
          <w:rFonts w:ascii="Arial" w:hAnsi="Arial" w:cs="Arial"/>
        </w:rPr>
        <w:lastRenderedPageBreak/>
        <w:t>legal/normativa ou jurisprudencial infringida],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com vistas à adoção de providências internas que previnam a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ocorrência de outras semelhantes.</w:t>
      </w:r>
    </w:p>
    <w:p w14:paraId="12569242" w14:textId="77777777" w:rsidR="00B223FF" w:rsidRPr="00B73D78" w:rsidRDefault="00B223FF" w:rsidP="00B223FF">
      <w:pPr>
        <w:spacing w:after="0"/>
        <w:jc w:val="both"/>
        <w:rPr>
          <w:rFonts w:ascii="Arial" w:hAnsi="Arial" w:cs="Arial"/>
          <w:b/>
          <w:bCs/>
        </w:rPr>
      </w:pPr>
      <w:r w:rsidRPr="00B73D78">
        <w:rPr>
          <w:rFonts w:ascii="Arial" w:hAnsi="Arial" w:cs="Arial"/>
          <w:b/>
          <w:bCs/>
        </w:rPr>
        <w:t>• Ocorrência de mais de uma impropriedade/falha</w:t>
      </w:r>
    </w:p>
    <w:p w14:paraId="1E359E75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Dar ciência ao(s) [órgão(s)/entidade(s)/unidade(s)] sobre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as seguintes impropriedades/falhas, para que sejam adotadas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medidas internas com vistas à prevenção de ocorrência de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outras semelhantes:</w:t>
      </w:r>
    </w:p>
    <w:p w14:paraId="0A0CB5FD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a) [descrição da impropriedade A], identificada no [objeto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no qual se verifica a ocorrência], o que afronta o disposto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[fundamentação legal/normativa ou jurisprudencial infringida]; e</w:t>
      </w:r>
    </w:p>
    <w:p w14:paraId="24AE6954" w14:textId="77777777" w:rsidR="00B223FF" w:rsidRPr="001360C8" w:rsidRDefault="00B223FF" w:rsidP="00B223FF">
      <w:pPr>
        <w:spacing w:after="0"/>
        <w:jc w:val="both"/>
        <w:rPr>
          <w:rFonts w:ascii="Arial" w:hAnsi="Arial" w:cs="Arial"/>
        </w:rPr>
      </w:pPr>
      <w:r w:rsidRPr="001360C8">
        <w:rPr>
          <w:rFonts w:ascii="Arial" w:hAnsi="Arial" w:cs="Arial"/>
        </w:rPr>
        <w:t>b) [descrição da impropriedade B], identificada no [objeto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no qual se verifica a ocorrência], o que afronta o disposto</w:t>
      </w:r>
      <w:r>
        <w:rPr>
          <w:rFonts w:ascii="Arial" w:hAnsi="Arial" w:cs="Arial"/>
        </w:rPr>
        <w:t xml:space="preserve"> </w:t>
      </w:r>
      <w:r w:rsidRPr="001360C8">
        <w:rPr>
          <w:rFonts w:ascii="Arial" w:hAnsi="Arial" w:cs="Arial"/>
        </w:rPr>
        <w:t>[fundamentação legal/normativa ou jurisprudencial infringida]</w:t>
      </w:r>
    </w:p>
    <w:p w14:paraId="520B7AC1" w14:textId="77777777" w:rsidR="00B223FF" w:rsidRDefault="00B223FF" w:rsidP="00B223FF">
      <w:pPr>
        <w:spacing w:after="0"/>
        <w:jc w:val="both"/>
        <w:rPr>
          <w:rFonts w:ascii="Arial" w:hAnsi="Arial" w:cs="Arial"/>
          <w:color w:val="0070C0"/>
        </w:rPr>
      </w:pPr>
    </w:p>
    <w:p w14:paraId="1D7123A5" w14:textId="77777777" w:rsidR="00B223FF" w:rsidRDefault="00B223FF" w:rsidP="00B223FF">
      <w:pPr>
        <w:spacing w:after="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noProof/>
          <w:color w:val="0070C0"/>
        </w:rPr>
        <w:drawing>
          <wp:inline distT="0" distB="0" distL="0" distR="0" wp14:anchorId="51C0970A" wp14:editId="646F3A50">
            <wp:extent cx="6231023" cy="4251960"/>
            <wp:effectExtent l="0" t="0" r="0" b="0"/>
            <wp:docPr id="16" name="Imagem 16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Diagram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024" cy="425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2924" w14:textId="77777777" w:rsidR="00B223FF" w:rsidRDefault="00B223FF" w:rsidP="00B223FF">
      <w:pPr>
        <w:spacing w:after="0"/>
        <w:jc w:val="both"/>
        <w:rPr>
          <w:rFonts w:ascii="Arial" w:hAnsi="Arial" w:cs="Arial"/>
          <w:color w:val="0070C0"/>
        </w:rPr>
      </w:pPr>
    </w:p>
    <w:p w14:paraId="33D60EC8" w14:textId="06CF1761" w:rsidR="00B223FF" w:rsidRPr="00B223FF" w:rsidRDefault="00B223FF" w:rsidP="00B223FF">
      <w:pPr>
        <w:spacing w:after="0"/>
        <w:jc w:val="both"/>
        <w:rPr>
          <w:rFonts w:ascii="Arial" w:hAnsi="Arial" w:cs="Arial"/>
        </w:rPr>
      </w:pPr>
    </w:p>
    <w:sectPr w:rsidR="00B223FF" w:rsidRPr="00B223FF" w:rsidSect="00B223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FF"/>
    <w:rsid w:val="00B2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7D07"/>
  <w15:chartTrackingRefBased/>
  <w15:docId w15:val="{B228DA73-AAE9-4145-BE04-D8498EE7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3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2305</Words>
  <Characters>12453</Characters>
  <Application>Microsoft Office Word</Application>
  <DocSecurity>0</DocSecurity>
  <Lines>103</Lines>
  <Paragraphs>29</Paragraphs>
  <ScaleCrop>false</ScaleCrop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2022-04-07T12:18:00Z</dcterms:created>
  <dcterms:modified xsi:type="dcterms:W3CDTF">2022-04-07T12:22:00Z</dcterms:modified>
</cp:coreProperties>
</file>