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5555" w14:textId="31BD3628" w:rsidR="0090536B" w:rsidRDefault="0090536B" w:rsidP="009053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26/03/2022 - </w:t>
      </w:r>
      <w:r>
        <w:rPr>
          <w:rFonts w:ascii="Arial" w:hAnsi="Arial" w:cs="Arial"/>
        </w:rPr>
        <w:t>pp. 03 e 04</w:t>
      </w:r>
    </w:p>
    <w:p w14:paraId="42D360A5" w14:textId="77777777" w:rsidR="0090536B" w:rsidRDefault="0090536B" w:rsidP="0090536B">
      <w:pPr>
        <w:spacing w:after="0"/>
        <w:jc w:val="both"/>
        <w:rPr>
          <w:rFonts w:ascii="Arial" w:hAnsi="Arial" w:cs="Arial"/>
        </w:rPr>
      </w:pPr>
    </w:p>
    <w:p w14:paraId="3F165075" w14:textId="422F5F83" w:rsidR="0090536B" w:rsidRDefault="0090536B" w:rsidP="0090536B">
      <w:pPr>
        <w:spacing w:after="0"/>
        <w:jc w:val="both"/>
        <w:rPr>
          <w:rFonts w:ascii="Arial" w:hAnsi="Arial" w:cs="Arial"/>
          <w:b/>
          <w:bCs/>
        </w:rPr>
      </w:pPr>
      <w:r w:rsidRPr="009A3C10">
        <w:rPr>
          <w:rFonts w:ascii="Arial" w:hAnsi="Arial" w:cs="Arial"/>
          <w:b/>
          <w:bCs/>
        </w:rPr>
        <w:t>PORTARIA N° 22/SMSUB/2022</w:t>
      </w:r>
    </w:p>
    <w:p w14:paraId="2E700459" w14:textId="77777777" w:rsidR="0090536B" w:rsidRPr="009A3C10" w:rsidRDefault="0090536B" w:rsidP="0090536B">
      <w:pPr>
        <w:spacing w:after="0"/>
        <w:jc w:val="both"/>
        <w:rPr>
          <w:rFonts w:ascii="Arial" w:hAnsi="Arial" w:cs="Arial"/>
          <w:b/>
          <w:bCs/>
        </w:rPr>
      </w:pPr>
    </w:p>
    <w:p w14:paraId="56196348" w14:textId="1A63A96B" w:rsidR="0090536B" w:rsidRDefault="0090536B" w:rsidP="0090536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8778F6">
        <w:rPr>
          <w:rFonts w:ascii="Arial" w:hAnsi="Arial" w:cs="Arial"/>
          <w:b/>
          <w:bCs/>
          <w:i/>
          <w:iCs/>
        </w:rPr>
        <w:t>Estabelece os procedimentos para a celebração de termos de cooperação com a iniciativa privada no âmbito do Programa Adote Uma Praça, pela via eletrônica, previsto no Decreto Municipal nº 61.170/2022.</w:t>
      </w:r>
    </w:p>
    <w:p w14:paraId="7C67349A" w14:textId="77777777" w:rsidR="0090536B" w:rsidRPr="008778F6" w:rsidRDefault="0090536B" w:rsidP="0090536B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2702B406" w14:textId="1E59E3C5" w:rsidR="0090536B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ALEXANDRE MODONEZI, Secretário Municipal das Subprefeituras, no uso das atribuições que lhe são conferidas por lei,</w:t>
      </w:r>
    </w:p>
    <w:p w14:paraId="7983BEBA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</w:p>
    <w:p w14:paraId="2DC10F1D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CONSIDERANDO que o Programa Adote Uma Praça, instituído pelo Decreto Municipal nº 61.170/2022, busca viabilizar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as ações do Poder Público Municipal e da sociedade civil para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o aprimoramento de serviços de manutenção e zeladoria, bem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como conservação e execução de melhorias urbanas, ambientais e paisagísticas de praças e de áreas verdes do Município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com área de até 30.000 m² (trinta mil metros quadrados), sob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administração exclusiva das Subprefeituras;</w:t>
      </w:r>
    </w:p>
    <w:p w14:paraId="626DA992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CONSIDERANDO a necessidade de que as adoções do Programa Adote Uma Praça sejam desburocratizadas, facilitando o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processo de adoção;</w:t>
      </w:r>
    </w:p>
    <w:p w14:paraId="240F1E4E" w14:textId="39D6C9AE" w:rsidR="0090536B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CONSIDERANDO a necessidade de regularizar os procedimentos contidos no Decreto Municipal nº 61.170/2022.</w:t>
      </w:r>
    </w:p>
    <w:p w14:paraId="0003ED8F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</w:p>
    <w:p w14:paraId="730A6F20" w14:textId="30FA243F" w:rsidR="0090536B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RESOLVE:</w:t>
      </w:r>
    </w:p>
    <w:p w14:paraId="074D4182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</w:p>
    <w:p w14:paraId="725601D4" w14:textId="77777777" w:rsidR="0090536B" w:rsidRPr="008778F6" w:rsidRDefault="0090536B" w:rsidP="0090536B">
      <w:pPr>
        <w:spacing w:after="0"/>
        <w:jc w:val="center"/>
        <w:rPr>
          <w:rFonts w:ascii="Arial" w:hAnsi="Arial" w:cs="Arial"/>
          <w:b/>
          <w:bCs/>
        </w:rPr>
      </w:pPr>
      <w:r w:rsidRPr="008778F6">
        <w:rPr>
          <w:rFonts w:ascii="Arial" w:hAnsi="Arial" w:cs="Arial"/>
          <w:b/>
          <w:bCs/>
        </w:rPr>
        <w:t>CAPÍTULO I</w:t>
      </w:r>
    </w:p>
    <w:p w14:paraId="68910EBC" w14:textId="77777777" w:rsidR="0090536B" w:rsidRPr="008778F6" w:rsidRDefault="0090536B" w:rsidP="0090536B">
      <w:pPr>
        <w:spacing w:after="0"/>
        <w:jc w:val="center"/>
        <w:rPr>
          <w:rFonts w:ascii="Arial" w:hAnsi="Arial" w:cs="Arial"/>
          <w:b/>
          <w:bCs/>
        </w:rPr>
      </w:pPr>
      <w:r w:rsidRPr="008778F6">
        <w:rPr>
          <w:rFonts w:ascii="Arial" w:hAnsi="Arial" w:cs="Arial"/>
          <w:b/>
          <w:bCs/>
        </w:rPr>
        <w:t>DAS DISPOSIÇÕES GERAIS</w:t>
      </w:r>
    </w:p>
    <w:p w14:paraId="1FEF31B8" w14:textId="77777777" w:rsidR="0090536B" w:rsidRPr="008778F6" w:rsidRDefault="0090536B" w:rsidP="0090536B">
      <w:pPr>
        <w:spacing w:after="0"/>
        <w:jc w:val="center"/>
        <w:rPr>
          <w:rFonts w:ascii="Arial" w:hAnsi="Arial" w:cs="Arial"/>
          <w:b/>
          <w:bCs/>
        </w:rPr>
      </w:pPr>
      <w:r w:rsidRPr="008778F6">
        <w:rPr>
          <w:rFonts w:ascii="Arial" w:hAnsi="Arial" w:cs="Arial"/>
          <w:b/>
          <w:bCs/>
        </w:rPr>
        <w:t>Seção I</w:t>
      </w:r>
    </w:p>
    <w:p w14:paraId="36531724" w14:textId="1193445E" w:rsidR="0090536B" w:rsidRDefault="0090536B" w:rsidP="0090536B">
      <w:pPr>
        <w:spacing w:after="0"/>
        <w:jc w:val="center"/>
        <w:rPr>
          <w:rFonts w:ascii="Arial" w:hAnsi="Arial" w:cs="Arial"/>
          <w:b/>
          <w:bCs/>
        </w:rPr>
      </w:pPr>
      <w:r w:rsidRPr="008778F6">
        <w:rPr>
          <w:rFonts w:ascii="Arial" w:hAnsi="Arial" w:cs="Arial"/>
          <w:b/>
          <w:bCs/>
        </w:rPr>
        <w:t>Dos critérios de Desempate</w:t>
      </w:r>
    </w:p>
    <w:p w14:paraId="59B28737" w14:textId="77777777" w:rsidR="0090536B" w:rsidRPr="008778F6" w:rsidRDefault="0090536B" w:rsidP="0090536B">
      <w:pPr>
        <w:spacing w:after="0"/>
        <w:jc w:val="center"/>
        <w:rPr>
          <w:rFonts w:ascii="Arial" w:hAnsi="Arial" w:cs="Arial"/>
          <w:b/>
          <w:bCs/>
        </w:rPr>
      </w:pPr>
    </w:p>
    <w:p w14:paraId="2CAB9BDE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Art. 1° Para fins de cumprimento do Programa Adote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Uma Praça, havendo mais de um interessado por uma mesma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praça ou área verde municipal, local-objeto do Programa,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conforme estipulado no artigo 10, §1º do Decreto Municipal nº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61.170/2022, adotar-se-á como critério de desempate a previsão de instalação de um ou mais dos seguintes equipamentos e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mobiliários urbanos em referidos locais, nos termos e condições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descritos nos incisos abaixo:</w:t>
      </w:r>
    </w:p>
    <w:p w14:paraId="4E875AAE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I – Manutenção de equipamentos já instalados, à sua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condição original;</w:t>
      </w:r>
    </w:p>
    <w:p w14:paraId="39AEA68B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II – Lixeiras para coleta seletiva;</w:t>
      </w:r>
    </w:p>
    <w:p w14:paraId="7C37FA75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III – Painéis informativos;</w:t>
      </w:r>
    </w:p>
    <w:p w14:paraId="0A906427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IV – Bancos;</w:t>
      </w:r>
    </w:p>
    <w:p w14:paraId="605ED334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V – Áreas de estar com mesas para jogos e piqueniques e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pontos para armação de redes de descanso;</w:t>
      </w:r>
    </w:p>
    <w:p w14:paraId="30D96415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VI – Estacionamento para bicicletas e armários tipo guarda-volumes;</w:t>
      </w:r>
    </w:p>
    <w:p w14:paraId="1EE14C94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VII – Horta comunitária orgânica, de caráter educativo;</w:t>
      </w:r>
    </w:p>
    <w:p w14:paraId="4443802A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VIII – Quiosques para piquenique;</w:t>
      </w:r>
    </w:p>
    <w:p w14:paraId="6C98A026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IX – Palco para manifestações artísticas;</w:t>
      </w:r>
    </w:p>
    <w:p w14:paraId="3644CA4A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X – Guaritas e demais equipamentos de segurança;</w:t>
      </w:r>
    </w:p>
    <w:p w14:paraId="081155B9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XI – Equipamentos de apoio às atividades de zeladoria;</w:t>
      </w:r>
    </w:p>
    <w:p w14:paraId="1C124FB5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XII – Espaço da melhor idade, com atividades e equipamentos específicos para idosos;</w:t>
      </w:r>
    </w:p>
    <w:p w14:paraId="0588A0C2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XIII – Espaço adaptado com atividades e equipamentos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específicos para pessoas com deficiência;</w:t>
      </w:r>
    </w:p>
    <w:p w14:paraId="658BE952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XIV – Espaço fechado para cães, também conhecido como</w:t>
      </w:r>
      <w:r>
        <w:rPr>
          <w:rFonts w:ascii="Arial" w:hAnsi="Arial" w:cs="Arial"/>
        </w:rPr>
        <w:t xml:space="preserve"> </w:t>
      </w:r>
      <w:proofErr w:type="spellStart"/>
      <w:r w:rsidRPr="00895C8A">
        <w:rPr>
          <w:rFonts w:ascii="Arial" w:hAnsi="Arial" w:cs="Arial"/>
        </w:rPr>
        <w:t>parcão</w:t>
      </w:r>
      <w:proofErr w:type="spellEnd"/>
      <w:r w:rsidRPr="00895C8A">
        <w:rPr>
          <w:rFonts w:ascii="Arial" w:hAnsi="Arial" w:cs="Arial"/>
        </w:rPr>
        <w:t>;</w:t>
      </w:r>
    </w:p>
    <w:p w14:paraId="4382ED7E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XV – Parque infantil;</w:t>
      </w:r>
    </w:p>
    <w:p w14:paraId="10DDDA89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XVI – Equipamentos para exercícios físicos e práticas desportivas não formais.</w:t>
      </w:r>
    </w:p>
    <w:p w14:paraId="2A15727E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lastRenderedPageBreak/>
        <w:t>§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1º Será atribuída pontuação, conforme valores estabelecidos no Anexo I da presente Portaria, à previsão de instalação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de cada um dos equipamentos mencionados nos incisos neste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artigo.</w:t>
      </w:r>
    </w:p>
    <w:p w14:paraId="13D61282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2º Na hipótese de a proposta apresentada pelo interessado envolver projetos previamente estabelecidos pela Secretaria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Municipal das Subprefeituras no âmbito do Sistema Adote Uma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Praça, a pontuação de cada equipamento será multiplicada pelo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fator de 1,5.</w:t>
      </w:r>
    </w:p>
    <w:p w14:paraId="1690CAB0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3º Será escolhido para celebração do termo de cooperação o projeto que, ao final, receber maior pontuação.</w:t>
      </w:r>
    </w:p>
    <w:p w14:paraId="7509BC8C" w14:textId="77777777" w:rsidR="0090536B" w:rsidRDefault="0090536B" w:rsidP="0090536B">
      <w:pPr>
        <w:spacing w:after="0"/>
        <w:jc w:val="both"/>
        <w:rPr>
          <w:rFonts w:ascii="Arial" w:hAnsi="Arial" w:cs="Arial"/>
        </w:rPr>
      </w:pPr>
    </w:p>
    <w:p w14:paraId="4BBC8406" w14:textId="7353E875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Art. 2º Após a análise dos critérios previstos no artigo 1º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desta Portaria, se ainda permanecer um empate na pontuação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entre 02 (duas) ou mais propostas para uma mesma praça ou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área verde municipal, será assegurada preferência ao projeto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que priorizar os seguintes equipamentos e mobiliários urbanos:</w:t>
      </w:r>
    </w:p>
    <w:p w14:paraId="1A21BBF7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I – Parque Infantil;</w:t>
      </w:r>
    </w:p>
    <w:p w14:paraId="1B34A7C8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II – Espaço adaptado com atividades e equipamentos específicos para pessoas com deficiência;</w:t>
      </w:r>
    </w:p>
    <w:p w14:paraId="4E156E36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III – Equipamentos para exercícios físicos e práticas desportivas não formais;</w:t>
      </w:r>
    </w:p>
    <w:p w14:paraId="2731DD31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IV – Espaço fechado para cães, também conhecido como</w:t>
      </w:r>
      <w:r>
        <w:rPr>
          <w:rFonts w:ascii="Arial" w:hAnsi="Arial" w:cs="Arial"/>
        </w:rPr>
        <w:t xml:space="preserve"> </w:t>
      </w:r>
      <w:proofErr w:type="spellStart"/>
      <w:r w:rsidRPr="00895C8A">
        <w:rPr>
          <w:rFonts w:ascii="Arial" w:hAnsi="Arial" w:cs="Arial"/>
        </w:rPr>
        <w:t>parcão</w:t>
      </w:r>
      <w:proofErr w:type="spellEnd"/>
      <w:r w:rsidRPr="00895C8A">
        <w:rPr>
          <w:rFonts w:ascii="Arial" w:hAnsi="Arial" w:cs="Arial"/>
        </w:rPr>
        <w:t>.</w:t>
      </w:r>
    </w:p>
    <w:p w14:paraId="3EFF76E5" w14:textId="77777777" w:rsidR="0090536B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Parágrafo único. Para fins de aplicação deste artigo, a pontuação dos equipamentos citados nos incisos anteriores seguirá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as disposições trazidas no Anexo II da presente Portaria.</w:t>
      </w:r>
    </w:p>
    <w:p w14:paraId="4028ABCF" w14:textId="77777777" w:rsidR="0090536B" w:rsidRDefault="0090536B" w:rsidP="0090536B">
      <w:pPr>
        <w:spacing w:after="0"/>
        <w:jc w:val="both"/>
        <w:rPr>
          <w:rFonts w:ascii="Arial" w:hAnsi="Arial" w:cs="Arial"/>
        </w:rPr>
      </w:pPr>
    </w:p>
    <w:p w14:paraId="6980FDB7" w14:textId="6487933E" w:rsidR="0090536B" w:rsidRDefault="0090536B" w:rsidP="0090536B">
      <w:pPr>
        <w:spacing w:after="0"/>
        <w:jc w:val="both"/>
        <w:rPr>
          <w:rFonts w:ascii="Arial" w:hAnsi="Arial" w:cs="Arial"/>
        </w:rPr>
      </w:pPr>
      <w:r w:rsidRPr="008778F6">
        <w:rPr>
          <w:rFonts w:ascii="Arial" w:hAnsi="Arial" w:cs="Arial"/>
        </w:rPr>
        <w:t>Art. 3º Caso não ocorra desempate entre as propostas, a</w:t>
      </w:r>
      <w:r>
        <w:rPr>
          <w:rFonts w:ascii="Arial" w:hAnsi="Arial" w:cs="Arial"/>
        </w:rPr>
        <w:t xml:space="preserve"> </w:t>
      </w:r>
      <w:r w:rsidRPr="008778F6">
        <w:rPr>
          <w:rFonts w:ascii="Arial" w:hAnsi="Arial" w:cs="Arial"/>
        </w:rPr>
        <w:t>vencedora será definida mediante sorteio a ser realizado em</w:t>
      </w:r>
      <w:r>
        <w:rPr>
          <w:rFonts w:ascii="Arial" w:hAnsi="Arial" w:cs="Arial"/>
        </w:rPr>
        <w:t xml:space="preserve"> </w:t>
      </w:r>
      <w:r w:rsidRPr="008778F6">
        <w:rPr>
          <w:rFonts w:ascii="Arial" w:hAnsi="Arial" w:cs="Arial"/>
        </w:rPr>
        <w:t>sessão pública, em data, local e horário previamente divulgados</w:t>
      </w:r>
      <w:r>
        <w:rPr>
          <w:rFonts w:ascii="Arial" w:hAnsi="Arial" w:cs="Arial"/>
        </w:rPr>
        <w:t xml:space="preserve"> </w:t>
      </w:r>
      <w:r w:rsidRPr="008778F6">
        <w:rPr>
          <w:rFonts w:ascii="Arial" w:hAnsi="Arial" w:cs="Arial"/>
        </w:rPr>
        <w:t>por meio de publicação no Diário Oficial da Cidade de São</w:t>
      </w:r>
      <w:r>
        <w:rPr>
          <w:rFonts w:ascii="Arial" w:hAnsi="Arial" w:cs="Arial"/>
        </w:rPr>
        <w:t xml:space="preserve"> </w:t>
      </w:r>
      <w:r w:rsidRPr="008778F6">
        <w:rPr>
          <w:rFonts w:ascii="Arial" w:hAnsi="Arial" w:cs="Arial"/>
        </w:rPr>
        <w:t>Paulo.</w:t>
      </w:r>
    </w:p>
    <w:p w14:paraId="0FD4748A" w14:textId="77777777" w:rsidR="0090536B" w:rsidRPr="008778F6" w:rsidRDefault="0090536B" w:rsidP="0090536B">
      <w:pPr>
        <w:spacing w:after="0"/>
        <w:jc w:val="both"/>
        <w:rPr>
          <w:rFonts w:ascii="Arial" w:hAnsi="Arial" w:cs="Arial"/>
        </w:rPr>
      </w:pPr>
    </w:p>
    <w:p w14:paraId="14923D1C" w14:textId="77777777" w:rsidR="0090536B" w:rsidRPr="008778F6" w:rsidRDefault="0090536B" w:rsidP="0090536B">
      <w:pPr>
        <w:spacing w:after="0"/>
        <w:jc w:val="center"/>
        <w:rPr>
          <w:rFonts w:ascii="Arial" w:hAnsi="Arial" w:cs="Arial"/>
          <w:b/>
          <w:bCs/>
        </w:rPr>
      </w:pPr>
      <w:r w:rsidRPr="008778F6">
        <w:rPr>
          <w:rFonts w:ascii="Arial" w:hAnsi="Arial" w:cs="Arial"/>
          <w:b/>
          <w:bCs/>
        </w:rPr>
        <w:t>Seção II</w:t>
      </w:r>
    </w:p>
    <w:p w14:paraId="493F16AA" w14:textId="0D5A1A9C" w:rsidR="0090536B" w:rsidRDefault="0090536B" w:rsidP="0090536B">
      <w:pPr>
        <w:spacing w:after="0"/>
        <w:jc w:val="center"/>
        <w:rPr>
          <w:rFonts w:ascii="Arial" w:hAnsi="Arial" w:cs="Arial"/>
          <w:b/>
          <w:bCs/>
        </w:rPr>
      </w:pPr>
      <w:r w:rsidRPr="008778F6">
        <w:rPr>
          <w:rFonts w:ascii="Arial" w:hAnsi="Arial" w:cs="Arial"/>
          <w:b/>
          <w:bCs/>
        </w:rPr>
        <w:t>Dos Termos de Cooperação e de Responsabilidade</w:t>
      </w:r>
    </w:p>
    <w:p w14:paraId="54BB8386" w14:textId="77777777" w:rsidR="0090536B" w:rsidRPr="008778F6" w:rsidRDefault="0090536B" w:rsidP="0090536B">
      <w:pPr>
        <w:spacing w:after="0"/>
        <w:jc w:val="center"/>
        <w:rPr>
          <w:rFonts w:ascii="Arial" w:hAnsi="Arial" w:cs="Arial"/>
          <w:b/>
          <w:bCs/>
        </w:rPr>
      </w:pPr>
    </w:p>
    <w:p w14:paraId="14555A24" w14:textId="52515296" w:rsidR="0090536B" w:rsidRDefault="0090536B" w:rsidP="0090536B">
      <w:pPr>
        <w:spacing w:after="0"/>
        <w:jc w:val="both"/>
        <w:rPr>
          <w:rFonts w:ascii="Arial" w:hAnsi="Arial" w:cs="Arial"/>
        </w:rPr>
      </w:pPr>
      <w:r w:rsidRPr="008778F6">
        <w:rPr>
          <w:rFonts w:ascii="Arial" w:hAnsi="Arial" w:cs="Arial"/>
        </w:rPr>
        <w:t>Art. 4º Os interessados que pretenderem integrar o Programa Adote Uma Praça deverão aceitar eletronicamente as</w:t>
      </w:r>
      <w:r>
        <w:rPr>
          <w:rFonts w:ascii="Arial" w:hAnsi="Arial" w:cs="Arial"/>
        </w:rPr>
        <w:t xml:space="preserve"> </w:t>
      </w:r>
      <w:r w:rsidRPr="008778F6">
        <w:rPr>
          <w:rFonts w:ascii="Arial" w:hAnsi="Arial" w:cs="Arial"/>
        </w:rPr>
        <w:t>cláusulas do Termo de Cooperação e de Responsabilidade por</w:t>
      </w:r>
      <w:r>
        <w:rPr>
          <w:rFonts w:ascii="Arial" w:hAnsi="Arial" w:cs="Arial"/>
        </w:rPr>
        <w:t xml:space="preserve"> </w:t>
      </w:r>
      <w:r w:rsidRPr="008778F6">
        <w:rPr>
          <w:rFonts w:ascii="Arial" w:hAnsi="Arial" w:cs="Arial"/>
        </w:rPr>
        <w:t>meio do Site do Programa, na forma descrita do Anexo III desta</w:t>
      </w:r>
      <w:r>
        <w:rPr>
          <w:rFonts w:ascii="Arial" w:hAnsi="Arial" w:cs="Arial"/>
        </w:rPr>
        <w:t xml:space="preserve"> </w:t>
      </w:r>
      <w:r w:rsidRPr="008778F6">
        <w:rPr>
          <w:rFonts w:ascii="Arial" w:hAnsi="Arial" w:cs="Arial"/>
        </w:rPr>
        <w:t>Portaria, respondendo legalmente por eventuais informações</w:t>
      </w:r>
      <w:r>
        <w:rPr>
          <w:rFonts w:ascii="Arial" w:hAnsi="Arial" w:cs="Arial"/>
        </w:rPr>
        <w:t xml:space="preserve"> </w:t>
      </w:r>
      <w:r w:rsidRPr="008778F6">
        <w:rPr>
          <w:rFonts w:ascii="Arial" w:hAnsi="Arial" w:cs="Arial"/>
        </w:rPr>
        <w:t>inverídicas.</w:t>
      </w:r>
    </w:p>
    <w:p w14:paraId="14DA3809" w14:textId="77777777" w:rsidR="0090536B" w:rsidRPr="008778F6" w:rsidRDefault="0090536B" w:rsidP="0090536B">
      <w:pPr>
        <w:spacing w:after="0"/>
        <w:jc w:val="both"/>
        <w:rPr>
          <w:rFonts w:ascii="Arial" w:hAnsi="Arial" w:cs="Arial"/>
        </w:rPr>
      </w:pPr>
    </w:p>
    <w:p w14:paraId="296FDD83" w14:textId="77777777" w:rsidR="0090536B" w:rsidRPr="008778F6" w:rsidRDefault="0090536B" w:rsidP="0090536B">
      <w:pPr>
        <w:spacing w:after="0"/>
        <w:jc w:val="center"/>
        <w:rPr>
          <w:rFonts w:ascii="Arial" w:hAnsi="Arial" w:cs="Arial"/>
          <w:b/>
          <w:bCs/>
        </w:rPr>
      </w:pPr>
      <w:r w:rsidRPr="008778F6">
        <w:rPr>
          <w:rFonts w:ascii="Arial" w:hAnsi="Arial" w:cs="Arial"/>
          <w:b/>
          <w:bCs/>
        </w:rPr>
        <w:t>Seção III</w:t>
      </w:r>
    </w:p>
    <w:p w14:paraId="4391BA8A" w14:textId="12A46832" w:rsidR="0090536B" w:rsidRDefault="0090536B" w:rsidP="0090536B">
      <w:pPr>
        <w:spacing w:after="0"/>
        <w:jc w:val="center"/>
        <w:rPr>
          <w:rFonts w:ascii="Arial" w:hAnsi="Arial" w:cs="Arial"/>
          <w:b/>
          <w:bCs/>
        </w:rPr>
      </w:pPr>
      <w:r w:rsidRPr="008778F6">
        <w:rPr>
          <w:rFonts w:ascii="Arial" w:hAnsi="Arial" w:cs="Arial"/>
          <w:b/>
          <w:bCs/>
        </w:rPr>
        <w:t>Da Fiscalização</w:t>
      </w:r>
    </w:p>
    <w:p w14:paraId="483DFF1C" w14:textId="77777777" w:rsidR="0090536B" w:rsidRPr="008778F6" w:rsidRDefault="0090536B" w:rsidP="0090536B">
      <w:pPr>
        <w:spacing w:after="0"/>
        <w:jc w:val="center"/>
        <w:rPr>
          <w:rFonts w:ascii="Arial" w:hAnsi="Arial" w:cs="Arial"/>
          <w:b/>
          <w:bCs/>
        </w:rPr>
      </w:pPr>
    </w:p>
    <w:p w14:paraId="48AE12B4" w14:textId="0D70B0D0" w:rsidR="0090536B" w:rsidRDefault="0090536B" w:rsidP="0090536B">
      <w:pPr>
        <w:spacing w:after="0"/>
        <w:jc w:val="both"/>
        <w:rPr>
          <w:rFonts w:ascii="Arial" w:hAnsi="Arial" w:cs="Arial"/>
        </w:rPr>
      </w:pPr>
      <w:r w:rsidRPr="008778F6">
        <w:rPr>
          <w:rFonts w:ascii="Arial" w:hAnsi="Arial" w:cs="Arial"/>
        </w:rPr>
        <w:t>Art. 6º A fiscalização mensal quanto à situação, limpeza e</w:t>
      </w:r>
      <w:r>
        <w:rPr>
          <w:rFonts w:ascii="Arial" w:hAnsi="Arial" w:cs="Arial"/>
        </w:rPr>
        <w:t xml:space="preserve"> </w:t>
      </w:r>
      <w:r w:rsidRPr="008778F6">
        <w:rPr>
          <w:rFonts w:ascii="Arial" w:hAnsi="Arial" w:cs="Arial"/>
        </w:rPr>
        <w:t>manutenção da área adotada será realizada pela Subprefeitura</w:t>
      </w:r>
      <w:r>
        <w:rPr>
          <w:rFonts w:ascii="Arial" w:hAnsi="Arial" w:cs="Arial"/>
        </w:rPr>
        <w:t xml:space="preserve"> </w:t>
      </w:r>
      <w:r w:rsidRPr="008778F6">
        <w:rPr>
          <w:rFonts w:ascii="Arial" w:hAnsi="Arial" w:cs="Arial"/>
        </w:rPr>
        <w:t>competente pelo local, nos termos do §</w:t>
      </w:r>
      <w:r>
        <w:rPr>
          <w:rFonts w:ascii="Arial" w:hAnsi="Arial" w:cs="Arial"/>
        </w:rPr>
        <w:t xml:space="preserve"> </w:t>
      </w:r>
      <w:r w:rsidRPr="008778F6">
        <w:rPr>
          <w:rFonts w:ascii="Arial" w:hAnsi="Arial" w:cs="Arial"/>
        </w:rPr>
        <w:t>2º do artigo 4º do Decreto Municipal n° 61.170/2022.</w:t>
      </w:r>
    </w:p>
    <w:p w14:paraId="373BD4A9" w14:textId="77777777" w:rsidR="0090536B" w:rsidRPr="008778F6" w:rsidRDefault="0090536B" w:rsidP="0090536B">
      <w:pPr>
        <w:spacing w:after="0"/>
        <w:jc w:val="both"/>
        <w:rPr>
          <w:rFonts w:ascii="Arial" w:hAnsi="Arial" w:cs="Arial"/>
        </w:rPr>
      </w:pPr>
    </w:p>
    <w:p w14:paraId="591063AC" w14:textId="575CFD2D" w:rsidR="0090536B" w:rsidRDefault="0090536B" w:rsidP="0090536B">
      <w:pPr>
        <w:spacing w:after="0"/>
        <w:jc w:val="both"/>
        <w:rPr>
          <w:rFonts w:ascii="Arial" w:hAnsi="Arial" w:cs="Arial"/>
        </w:rPr>
      </w:pPr>
      <w:r w:rsidRPr="008778F6">
        <w:rPr>
          <w:rFonts w:ascii="Arial" w:hAnsi="Arial" w:cs="Arial"/>
        </w:rPr>
        <w:t>Art. 7º Havendo inobservância dos serviços propostos,</w:t>
      </w:r>
      <w:r>
        <w:rPr>
          <w:rFonts w:ascii="Arial" w:hAnsi="Arial" w:cs="Arial"/>
        </w:rPr>
        <w:t xml:space="preserve"> </w:t>
      </w:r>
      <w:r w:rsidRPr="008778F6">
        <w:rPr>
          <w:rFonts w:ascii="Arial" w:hAnsi="Arial" w:cs="Arial"/>
        </w:rPr>
        <w:t>o Adotante será notificado via e-mail, sujeitando-se às sanções previstas nos artigos 16 e 17 do Decreto Municipal n°</w:t>
      </w:r>
      <w:r>
        <w:rPr>
          <w:rFonts w:ascii="Arial" w:hAnsi="Arial" w:cs="Arial"/>
        </w:rPr>
        <w:t xml:space="preserve"> </w:t>
      </w:r>
      <w:r w:rsidRPr="008778F6">
        <w:rPr>
          <w:rFonts w:ascii="Arial" w:hAnsi="Arial" w:cs="Arial"/>
        </w:rPr>
        <w:t>61.170/2022.</w:t>
      </w:r>
    </w:p>
    <w:p w14:paraId="25698D67" w14:textId="77777777" w:rsidR="0090536B" w:rsidRPr="008778F6" w:rsidRDefault="0090536B" w:rsidP="0090536B">
      <w:pPr>
        <w:spacing w:after="0"/>
        <w:jc w:val="both"/>
        <w:rPr>
          <w:rFonts w:ascii="Arial" w:hAnsi="Arial" w:cs="Arial"/>
        </w:rPr>
      </w:pPr>
    </w:p>
    <w:p w14:paraId="64CCA6FB" w14:textId="77777777" w:rsidR="0090536B" w:rsidRPr="008778F6" w:rsidRDefault="0090536B" w:rsidP="0090536B">
      <w:pPr>
        <w:spacing w:after="0"/>
        <w:jc w:val="center"/>
        <w:rPr>
          <w:rFonts w:ascii="Arial" w:hAnsi="Arial" w:cs="Arial"/>
          <w:b/>
          <w:bCs/>
        </w:rPr>
      </w:pPr>
      <w:r w:rsidRPr="008778F6">
        <w:rPr>
          <w:rFonts w:ascii="Arial" w:hAnsi="Arial" w:cs="Arial"/>
          <w:b/>
          <w:bCs/>
        </w:rPr>
        <w:t>Seção IV</w:t>
      </w:r>
    </w:p>
    <w:p w14:paraId="1A2EE1CC" w14:textId="5D626B07" w:rsidR="0090536B" w:rsidRDefault="0090536B" w:rsidP="0090536B">
      <w:pPr>
        <w:spacing w:after="0"/>
        <w:jc w:val="center"/>
        <w:rPr>
          <w:rFonts w:ascii="Arial" w:hAnsi="Arial" w:cs="Arial"/>
          <w:b/>
          <w:bCs/>
        </w:rPr>
      </w:pPr>
      <w:r w:rsidRPr="008778F6">
        <w:rPr>
          <w:rFonts w:ascii="Arial" w:hAnsi="Arial" w:cs="Arial"/>
          <w:b/>
          <w:bCs/>
        </w:rPr>
        <w:t>Do Plantio</w:t>
      </w:r>
    </w:p>
    <w:p w14:paraId="23B0D7BE" w14:textId="77777777" w:rsidR="0090536B" w:rsidRPr="008778F6" w:rsidRDefault="0090536B" w:rsidP="0090536B">
      <w:pPr>
        <w:spacing w:after="0"/>
        <w:jc w:val="center"/>
        <w:rPr>
          <w:rFonts w:ascii="Arial" w:hAnsi="Arial" w:cs="Arial"/>
          <w:b/>
          <w:bCs/>
        </w:rPr>
      </w:pPr>
    </w:p>
    <w:p w14:paraId="13991732" w14:textId="4E38CE52" w:rsidR="0090536B" w:rsidRDefault="0090536B" w:rsidP="0090536B">
      <w:pPr>
        <w:spacing w:after="0"/>
        <w:jc w:val="both"/>
        <w:rPr>
          <w:rFonts w:ascii="Arial" w:hAnsi="Arial" w:cs="Arial"/>
        </w:rPr>
      </w:pPr>
      <w:r w:rsidRPr="008778F6">
        <w:rPr>
          <w:rFonts w:ascii="Arial" w:hAnsi="Arial" w:cs="Arial"/>
        </w:rPr>
        <w:t>Art. 8º Para fins de cumprimento das disposições desta</w:t>
      </w:r>
      <w:r>
        <w:rPr>
          <w:rFonts w:ascii="Arial" w:hAnsi="Arial" w:cs="Arial"/>
        </w:rPr>
        <w:t xml:space="preserve"> </w:t>
      </w:r>
      <w:r w:rsidRPr="008778F6">
        <w:rPr>
          <w:rFonts w:ascii="Arial" w:hAnsi="Arial" w:cs="Arial"/>
        </w:rPr>
        <w:t>Portaria e do Decreto Municipal n° 61.170/2022, o cooperante</w:t>
      </w:r>
      <w:r>
        <w:rPr>
          <w:rFonts w:ascii="Arial" w:hAnsi="Arial" w:cs="Arial"/>
        </w:rPr>
        <w:t xml:space="preserve"> </w:t>
      </w:r>
      <w:r w:rsidRPr="008778F6">
        <w:rPr>
          <w:rFonts w:ascii="Arial" w:hAnsi="Arial" w:cs="Arial"/>
        </w:rPr>
        <w:t>poderá efetuar o plantio dos indivíduos arbóreos relacionados</w:t>
      </w:r>
      <w:r>
        <w:rPr>
          <w:rFonts w:ascii="Arial" w:hAnsi="Arial" w:cs="Arial"/>
        </w:rPr>
        <w:t xml:space="preserve"> </w:t>
      </w:r>
      <w:r w:rsidRPr="008778F6">
        <w:rPr>
          <w:rFonts w:ascii="Arial" w:hAnsi="Arial" w:cs="Arial"/>
        </w:rPr>
        <w:t>no Anexo IV desta Portaria nos locais deteriorados da praça ou</w:t>
      </w:r>
      <w:r>
        <w:rPr>
          <w:rFonts w:ascii="Arial" w:hAnsi="Arial" w:cs="Arial"/>
        </w:rPr>
        <w:t xml:space="preserve"> </w:t>
      </w:r>
      <w:r w:rsidRPr="008778F6">
        <w:rPr>
          <w:rFonts w:ascii="Arial" w:hAnsi="Arial" w:cs="Arial"/>
        </w:rPr>
        <w:t>área verde adotada.</w:t>
      </w:r>
    </w:p>
    <w:p w14:paraId="744FF73A" w14:textId="3ACC6B4D" w:rsidR="0090536B" w:rsidRDefault="0090536B" w:rsidP="0090536B">
      <w:pPr>
        <w:spacing w:after="0"/>
        <w:jc w:val="both"/>
        <w:rPr>
          <w:rFonts w:ascii="Arial" w:hAnsi="Arial" w:cs="Arial"/>
        </w:rPr>
      </w:pPr>
    </w:p>
    <w:p w14:paraId="4F3D2CEF" w14:textId="78F19CFF" w:rsidR="0090536B" w:rsidRDefault="0090536B" w:rsidP="0090536B">
      <w:pPr>
        <w:spacing w:after="0"/>
        <w:jc w:val="both"/>
        <w:rPr>
          <w:rFonts w:ascii="Arial" w:hAnsi="Arial" w:cs="Arial"/>
        </w:rPr>
      </w:pPr>
    </w:p>
    <w:p w14:paraId="6820CA1C" w14:textId="77777777" w:rsidR="0090536B" w:rsidRDefault="0090536B" w:rsidP="0090536B">
      <w:pPr>
        <w:spacing w:after="0"/>
        <w:jc w:val="both"/>
        <w:rPr>
          <w:rFonts w:ascii="Arial" w:hAnsi="Arial" w:cs="Arial"/>
        </w:rPr>
      </w:pPr>
    </w:p>
    <w:p w14:paraId="2744A522" w14:textId="77777777" w:rsidR="0090536B" w:rsidRPr="008778F6" w:rsidRDefault="0090536B" w:rsidP="0090536B">
      <w:pPr>
        <w:spacing w:after="0"/>
        <w:jc w:val="both"/>
        <w:rPr>
          <w:rFonts w:ascii="Arial" w:hAnsi="Arial" w:cs="Arial"/>
        </w:rPr>
      </w:pPr>
    </w:p>
    <w:p w14:paraId="731B8299" w14:textId="77777777" w:rsidR="0090536B" w:rsidRPr="008778F6" w:rsidRDefault="0090536B" w:rsidP="0090536B">
      <w:pPr>
        <w:spacing w:after="0"/>
        <w:jc w:val="center"/>
        <w:rPr>
          <w:rFonts w:ascii="Arial" w:hAnsi="Arial" w:cs="Arial"/>
          <w:b/>
          <w:bCs/>
        </w:rPr>
      </w:pPr>
      <w:r w:rsidRPr="008778F6">
        <w:rPr>
          <w:rFonts w:ascii="Arial" w:hAnsi="Arial" w:cs="Arial"/>
          <w:b/>
          <w:bCs/>
        </w:rPr>
        <w:lastRenderedPageBreak/>
        <w:t>CAPÍTULO II</w:t>
      </w:r>
    </w:p>
    <w:p w14:paraId="016E1295" w14:textId="0F7FC945" w:rsidR="0090536B" w:rsidRDefault="0090536B" w:rsidP="0090536B">
      <w:pPr>
        <w:spacing w:after="0"/>
        <w:jc w:val="center"/>
        <w:rPr>
          <w:rFonts w:ascii="Arial" w:hAnsi="Arial" w:cs="Arial"/>
          <w:b/>
          <w:bCs/>
        </w:rPr>
      </w:pPr>
      <w:r w:rsidRPr="008778F6">
        <w:rPr>
          <w:rFonts w:ascii="Arial" w:hAnsi="Arial" w:cs="Arial"/>
          <w:b/>
          <w:bCs/>
        </w:rPr>
        <w:t>DAS DISPOSIÇÕES FINAIS</w:t>
      </w:r>
    </w:p>
    <w:p w14:paraId="34590D38" w14:textId="77777777" w:rsidR="0090536B" w:rsidRPr="008778F6" w:rsidRDefault="0090536B" w:rsidP="0090536B">
      <w:pPr>
        <w:spacing w:after="0"/>
        <w:jc w:val="center"/>
        <w:rPr>
          <w:rFonts w:ascii="Arial" w:hAnsi="Arial" w:cs="Arial"/>
          <w:b/>
          <w:bCs/>
        </w:rPr>
      </w:pPr>
    </w:p>
    <w:p w14:paraId="76CBA04A" w14:textId="3E334163" w:rsidR="0090536B" w:rsidRDefault="0090536B" w:rsidP="0090536B">
      <w:pPr>
        <w:spacing w:after="0"/>
        <w:jc w:val="both"/>
        <w:rPr>
          <w:rFonts w:ascii="Arial" w:hAnsi="Arial" w:cs="Arial"/>
        </w:rPr>
      </w:pPr>
      <w:r w:rsidRPr="008778F6">
        <w:rPr>
          <w:rFonts w:ascii="Arial" w:hAnsi="Arial" w:cs="Arial"/>
        </w:rPr>
        <w:t>Art. 9º Esta Portaria entrará em vigor na data de sua publicação, revogadas as disposições em contrário.</w:t>
      </w:r>
    </w:p>
    <w:p w14:paraId="4F60454F" w14:textId="77777777" w:rsidR="0090536B" w:rsidRPr="008778F6" w:rsidRDefault="0090536B" w:rsidP="0090536B">
      <w:pPr>
        <w:spacing w:after="0"/>
        <w:jc w:val="both"/>
        <w:rPr>
          <w:rFonts w:ascii="Arial" w:hAnsi="Arial" w:cs="Arial"/>
        </w:rPr>
      </w:pPr>
    </w:p>
    <w:p w14:paraId="7CD11FA1" w14:textId="3B4FD971" w:rsidR="0090536B" w:rsidRDefault="0090536B" w:rsidP="0090536B">
      <w:pPr>
        <w:spacing w:after="0"/>
        <w:jc w:val="both"/>
        <w:rPr>
          <w:rFonts w:ascii="Arial" w:hAnsi="Arial" w:cs="Arial"/>
          <w:b/>
          <w:bCs/>
        </w:rPr>
      </w:pPr>
      <w:r w:rsidRPr="008778F6">
        <w:rPr>
          <w:rFonts w:ascii="Arial" w:hAnsi="Arial" w:cs="Arial"/>
          <w:b/>
          <w:bCs/>
        </w:rPr>
        <w:t>ANEXO I</w:t>
      </w:r>
    </w:p>
    <w:p w14:paraId="0155938E" w14:textId="77777777" w:rsidR="0090536B" w:rsidRPr="008778F6" w:rsidRDefault="0090536B" w:rsidP="0090536B">
      <w:pPr>
        <w:spacing w:after="0"/>
        <w:jc w:val="both"/>
        <w:rPr>
          <w:rFonts w:ascii="Arial" w:hAnsi="Arial" w:cs="Arial"/>
          <w:b/>
          <w:bCs/>
        </w:rPr>
      </w:pPr>
    </w:p>
    <w:p w14:paraId="7DB76CAE" w14:textId="77777777" w:rsidR="0090536B" w:rsidRPr="008778F6" w:rsidRDefault="0090536B" w:rsidP="0090536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8778F6">
        <w:rPr>
          <w:rFonts w:ascii="Arial" w:hAnsi="Arial" w:cs="Arial"/>
          <w:b/>
          <w:bCs/>
          <w:i/>
          <w:iCs/>
        </w:rPr>
        <w:t>EQUIPAMENTOS E MOBILIÁRIO URBANO</w:t>
      </w:r>
    </w:p>
    <w:p w14:paraId="00D13F88" w14:textId="4B0A5759" w:rsidR="0090536B" w:rsidRDefault="0090536B" w:rsidP="0090536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8778F6">
        <w:rPr>
          <w:rFonts w:ascii="Arial" w:hAnsi="Arial" w:cs="Arial"/>
          <w:b/>
          <w:bCs/>
          <w:i/>
          <w:iCs/>
        </w:rPr>
        <w:t>PONTUAÇÃO</w:t>
      </w:r>
    </w:p>
    <w:p w14:paraId="66C5C3FA" w14:textId="77777777" w:rsidR="0090536B" w:rsidRPr="008778F6" w:rsidRDefault="0090536B" w:rsidP="0090536B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767F02AB" w14:textId="77777777" w:rsidR="0090536B" w:rsidRPr="008778F6" w:rsidRDefault="0090536B" w:rsidP="0090536B">
      <w:pPr>
        <w:spacing w:after="0"/>
        <w:jc w:val="both"/>
        <w:rPr>
          <w:rFonts w:ascii="Arial" w:hAnsi="Arial" w:cs="Arial"/>
        </w:rPr>
      </w:pPr>
      <w:r w:rsidRPr="008778F6">
        <w:rPr>
          <w:rFonts w:ascii="Arial" w:hAnsi="Arial" w:cs="Arial"/>
        </w:rPr>
        <w:t>Manutenção de equipamentos já instalados, à sua condição</w:t>
      </w:r>
      <w:r>
        <w:rPr>
          <w:rFonts w:ascii="Arial" w:hAnsi="Arial" w:cs="Arial"/>
        </w:rPr>
        <w:t xml:space="preserve"> </w:t>
      </w:r>
      <w:r w:rsidRPr="008778F6">
        <w:rPr>
          <w:rFonts w:ascii="Arial" w:hAnsi="Arial" w:cs="Arial"/>
        </w:rPr>
        <w:t>original, por equipamento;</w:t>
      </w:r>
    </w:p>
    <w:p w14:paraId="01965828" w14:textId="77777777" w:rsidR="0090536B" w:rsidRPr="008778F6" w:rsidRDefault="0090536B" w:rsidP="0090536B">
      <w:pPr>
        <w:spacing w:after="0"/>
        <w:jc w:val="both"/>
        <w:rPr>
          <w:rFonts w:ascii="Arial" w:hAnsi="Arial" w:cs="Arial"/>
        </w:rPr>
      </w:pPr>
      <w:r w:rsidRPr="008778F6">
        <w:rPr>
          <w:rFonts w:ascii="Arial" w:hAnsi="Arial" w:cs="Arial"/>
        </w:rPr>
        <w:t>5</w:t>
      </w:r>
    </w:p>
    <w:p w14:paraId="7FC0A31C" w14:textId="77777777" w:rsidR="0090536B" w:rsidRPr="008778F6" w:rsidRDefault="0090536B" w:rsidP="0090536B">
      <w:pPr>
        <w:spacing w:after="0"/>
        <w:jc w:val="both"/>
        <w:rPr>
          <w:rFonts w:ascii="Arial" w:hAnsi="Arial" w:cs="Arial"/>
        </w:rPr>
      </w:pPr>
      <w:r w:rsidRPr="008778F6">
        <w:rPr>
          <w:rFonts w:ascii="Arial" w:hAnsi="Arial" w:cs="Arial"/>
        </w:rPr>
        <w:t>Lixeiras para coleta seletiva (por lixeira);</w:t>
      </w:r>
    </w:p>
    <w:p w14:paraId="1C3E6C4D" w14:textId="77777777" w:rsidR="0090536B" w:rsidRPr="008778F6" w:rsidRDefault="0090536B" w:rsidP="0090536B">
      <w:pPr>
        <w:spacing w:after="0"/>
        <w:jc w:val="both"/>
        <w:rPr>
          <w:rFonts w:ascii="Arial" w:hAnsi="Arial" w:cs="Arial"/>
        </w:rPr>
      </w:pPr>
      <w:r w:rsidRPr="008778F6">
        <w:rPr>
          <w:rFonts w:ascii="Arial" w:hAnsi="Arial" w:cs="Arial"/>
        </w:rPr>
        <w:t>0,5</w:t>
      </w:r>
    </w:p>
    <w:p w14:paraId="21CD800B" w14:textId="77777777" w:rsidR="0090536B" w:rsidRPr="008778F6" w:rsidRDefault="0090536B" w:rsidP="0090536B">
      <w:pPr>
        <w:spacing w:after="0"/>
        <w:jc w:val="both"/>
        <w:rPr>
          <w:rFonts w:ascii="Arial" w:hAnsi="Arial" w:cs="Arial"/>
        </w:rPr>
      </w:pPr>
      <w:r w:rsidRPr="008778F6">
        <w:rPr>
          <w:rFonts w:ascii="Arial" w:hAnsi="Arial" w:cs="Arial"/>
        </w:rPr>
        <w:t>Painéis informativos;</w:t>
      </w:r>
    </w:p>
    <w:p w14:paraId="63B5F711" w14:textId="77777777" w:rsidR="0090536B" w:rsidRPr="008778F6" w:rsidRDefault="0090536B" w:rsidP="0090536B">
      <w:pPr>
        <w:spacing w:after="0"/>
        <w:jc w:val="both"/>
        <w:rPr>
          <w:rFonts w:ascii="Arial" w:hAnsi="Arial" w:cs="Arial"/>
        </w:rPr>
      </w:pPr>
      <w:r w:rsidRPr="008778F6">
        <w:rPr>
          <w:rFonts w:ascii="Arial" w:hAnsi="Arial" w:cs="Arial"/>
        </w:rPr>
        <w:t>0,5</w:t>
      </w:r>
    </w:p>
    <w:p w14:paraId="56D4358B" w14:textId="77777777" w:rsidR="0090536B" w:rsidRPr="008778F6" w:rsidRDefault="0090536B" w:rsidP="0090536B">
      <w:pPr>
        <w:spacing w:after="0"/>
        <w:jc w:val="both"/>
        <w:rPr>
          <w:rFonts w:ascii="Arial" w:hAnsi="Arial" w:cs="Arial"/>
        </w:rPr>
      </w:pPr>
      <w:r w:rsidRPr="008778F6">
        <w:rPr>
          <w:rFonts w:ascii="Arial" w:hAnsi="Arial" w:cs="Arial"/>
        </w:rPr>
        <w:t>Bancos;</w:t>
      </w:r>
    </w:p>
    <w:p w14:paraId="261704B1" w14:textId="77777777" w:rsidR="0090536B" w:rsidRPr="008778F6" w:rsidRDefault="0090536B" w:rsidP="0090536B">
      <w:pPr>
        <w:spacing w:after="0"/>
        <w:jc w:val="both"/>
        <w:rPr>
          <w:rFonts w:ascii="Arial" w:hAnsi="Arial" w:cs="Arial"/>
        </w:rPr>
      </w:pPr>
      <w:r w:rsidRPr="008778F6">
        <w:rPr>
          <w:rFonts w:ascii="Arial" w:hAnsi="Arial" w:cs="Arial"/>
        </w:rPr>
        <w:t>5</w:t>
      </w:r>
    </w:p>
    <w:p w14:paraId="5C1BC30E" w14:textId="77777777" w:rsidR="0090536B" w:rsidRPr="008778F6" w:rsidRDefault="0090536B" w:rsidP="0090536B">
      <w:pPr>
        <w:spacing w:after="0"/>
        <w:jc w:val="both"/>
        <w:rPr>
          <w:rFonts w:ascii="Arial" w:hAnsi="Arial" w:cs="Arial"/>
        </w:rPr>
      </w:pPr>
      <w:r w:rsidRPr="008778F6">
        <w:rPr>
          <w:rFonts w:ascii="Arial" w:hAnsi="Arial" w:cs="Arial"/>
        </w:rPr>
        <w:t>Áreas de estar com mesas para jogos e piqueniques e pontos para armação de redes de descanso;</w:t>
      </w:r>
    </w:p>
    <w:p w14:paraId="3016D83D" w14:textId="77777777" w:rsidR="0090536B" w:rsidRPr="008778F6" w:rsidRDefault="0090536B" w:rsidP="0090536B">
      <w:pPr>
        <w:spacing w:after="0"/>
        <w:jc w:val="both"/>
        <w:rPr>
          <w:rFonts w:ascii="Arial" w:hAnsi="Arial" w:cs="Arial"/>
        </w:rPr>
      </w:pPr>
      <w:r w:rsidRPr="008778F6">
        <w:rPr>
          <w:rFonts w:ascii="Arial" w:hAnsi="Arial" w:cs="Arial"/>
        </w:rPr>
        <w:t>10</w:t>
      </w:r>
    </w:p>
    <w:p w14:paraId="77726211" w14:textId="77777777" w:rsidR="0090536B" w:rsidRPr="008778F6" w:rsidRDefault="0090536B" w:rsidP="0090536B">
      <w:pPr>
        <w:spacing w:after="0"/>
        <w:jc w:val="both"/>
        <w:rPr>
          <w:rFonts w:ascii="Arial" w:hAnsi="Arial" w:cs="Arial"/>
        </w:rPr>
      </w:pPr>
      <w:r w:rsidRPr="008778F6">
        <w:rPr>
          <w:rFonts w:ascii="Arial" w:hAnsi="Arial" w:cs="Arial"/>
        </w:rPr>
        <w:t>Estacionamento para bicicletas e armários tipo guarda-volumes;</w:t>
      </w:r>
    </w:p>
    <w:p w14:paraId="7A291212" w14:textId="77777777" w:rsidR="0090536B" w:rsidRPr="008778F6" w:rsidRDefault="0090536B" w:rsidP="0090536B">
      <w:pPr>
        <w:spacing w:after="0"/>
        <w:jc w:val="both"/>
        <w:rPr>
          <w:rFonts w:ascii="Arial" w:hAnsi="Arial" w:cs="Arial"/>
        </w:rPr>
      </w:pPr>
      <w:r w:rsidRPr="008778F6">
        <w:rPr>
          <w:rFonts w:ascii="Arial" w:hAnsi="Arial" w:cs="Arial"/>
        </w:rPr>
        <w:t>10</w:t>
      </w:r>
    </w:p>
    <w:p w14:paraId="14A72BF6" w14:textId="77777777" w:rsidR="0090536B" w:rsidRPr="008778F6" w:rsidRDefault="0090536B" w:rsidP="0090536B">
      <w:pPr>
        <w:spacing w:after="0"/>
        <w:jc w:val="both"/>
        <w:rPr>
          <w:rFonts w:ascii="Arial" w:hAnsi="Arial" w:cs="Arial"/>
        </w:rPr>
      </w:pPr>
      <w:r w:rsidRPr="008778F6">
        <w:rPr>
          <w:rFonts w:ascii="Arial" w:hAnsi="Arial" w:cs="Arial"/>
        </w:rPr>
        <w:t>Horta comunitária orgânica, de caráter educativo;</w:t>
      </w:r>
    </w:p>
    <w:p w14:paraId="6C4E33BD" w14:textId="77777777" w:rsidR="0090536B" w:rsidRPr="008778F6" w:rsidRDefault="0090536B" w:rsidP="0090536B">
      <w:pPr>
        <w:spacing w:after="0"/>
        <w:jc w:val="both"/>
        <w:rPr>
          <w:rFonts w:ascii="Arial" w:hAnsi="Arial" w:cs="Arial"/>
        </w:rPr>
      </w:pPr>
      <w:r w:rsidRPr="008778F6">
        <w:rPr>
          <w:rFonts w:ascii="Arial" w:hAnsi="Arial" w:cs="Arial"/>
        </w:rPr>
        <w:t>5</w:t>
      </w:r>
    </w:p>
    <w:p w14:paraId="0F23BC6B" w14:textId="77777777" w:rsidR="0090536B" w:rsidRPr="008778F6" w:rsidRDefault="0090536B" w:rsidP="0090536B">
      <w:pPr>
        <w:spacing w:after="0"/>
        <w:jc w:val="both"/>
        <w:rPr>
          <w:rFonts w:ascii="Arial" w:hAnsi="Arial" w:cs="Arial"/>
        </w:rPr>
      </w:pPr>
      <w:r w:rsidRPr="008778F6">
        <w:rPr>
          <w:rFonts w:ascii="Arial" w:hAnsi="Arial" w:cs="Arial"/>
        </w:rPr>
        <w:t>Quiosques para piquenique;</w:t>
      </w:r>
    </w:p>
    <w:p w14:paraId="690017EE" w14:textId="77777777" w:rsidR="0090536B" w:rsidRPr="008778F6" w:rsidRDefault="0090536B" w:rsidP="0090536B">
      <w:pPr>
        <w:spacing w:after="0"/>
        <w:jc w:val="both"/>
        <w:rPr>
          <w:rFonts w:ascii="Arial" w:hAnsi="Arial" w:cs="Arial"/>
        </w:rPr>
      </w:pPr>
      <w:r w:rsidRPr="008778F6">
        <w:rPr>
          <w:rFonts w:ascii="Arial" w:hAnsi="Arial" w:cs="Arial"/>
        </w:rPr>
        <w:t>10</w:t>
      </w:r>
    </w:p>
    <w:p w14:paraId="43A2F51B" w14:textId="77777777" w:rsidR="0090536B" w:rsidRPr="008778F6" w:rsidRDefault="0090536B" w:rsidP="0090536B">
      <w:pPr>
        <w:spacing w:after="0"/>
        <w:jc w:val="both"/>
        <w:rPr>
          <w:rFonts w:ascii="Arial" w:hAnsi="Arial" w:cs="Arial"/>
        </w:rPr>
      </w:pPr>
      <w:r w:rsidRPr="008778F6">
        <w:rPr>
          <w:rFonts w:ascii="Arial" w:hAnsi="Arial" w:cs="Arial"/>
        </w:rPr>
        <w:t>Palco para manifestações artísticas;</w:t>
      </w:r>
    </w:p>
    <w:p w14:paraId="5DA1D902" w14:textId="77777777" w:rsidR="0090536B" w:rsidRPr="008778F6" w:rsidRDefault="0090536B" w:rsidP="0090536B">
      <w:pPr>
        <w:spacing w:after="0"/>
        <w:jc w:val="both"/>
        <w:rPr>
          <w:rFonts w:ascii="Arial" w:hAnsi="Arial" w:cs="Arial"/>
        </w:rPr>
      </w:pPr>
      <w:r w:rsidRPr="008778F6">
        <w:rPr>
          <w:rFonts w:ascii="Arial" w:hAnsi="Arial" w:cs="Arial"/>
        </w:rPr>
        <w:t>15</w:t>
      </w:r>
    </w:p>
    <w:p w14:paraId="250F1784" w14:textId="77777777" w:rsidR="0090536B" w:rsidRPr="008778F6" w:rsidRDefault="0090536B" w:rsidP="0090536B">
      <w:pPr>
        <w:spacing w:after="0"/>
        <w:jc w:val="both"/>
        <w:rPr>
          <w:rFonts w:ascii="Arial" w:hAnsi="Arial" w:cs="Arial"/>
        </w:rPr>
      </w:pPr>
      <w:r w:rsidRPr="008778F6">
        <w:rPr>
          <w:rFonts w:ascii="Arial" w:hAnsi="Arial" w:cs="Arial"/>
        </w:rPr>
        <w:t>Guaritas e demais equipamentos de segurança;</w:t>
      </w:r>
    </w:p>
    <w:p w14:paraId="4F05EB1C" w14:textId="77777777" w:rsidR="0090536B" w:rsidRPr="008778F6" w:rsidRDefault="0090536B" w:rsidP="0090536B">
      <w:pPr>
        <w:spacing w:after="0"/>
        <w:jc w:val="both"/>
        <w:rPr>
          <w:rFonts w:ascii="Arial" w:hAnsi="Arial" w:cs="Arial"/>
        </w:rPr>
      </w:pPr>
      <w:r w:rsidRPr="008778F6">
        <w:rPr>
          <w:rFonts w:ascii="Arial" w:hAnsi="Arial" w:cs="Arial"/>
        </w:rPr>
        <w:t>10</w:t>
      </w:r>
    </w:p>
    <w:p w14:paraId="311967F1" w14:textId="77777777" w:rsidR="0090536B" w:rsidRPr="008778F6" w:rsidRDefault="0090536B" w:rsidP="0090536B">
      <w:pPr>
        <w:spacing w:after="0"/>
        <w:jc w:val="both"/>
        <w:rPr>
          <w:rFonts w:ascii="Arial" w:hAnsi="Arial" w:cs="Arial"/>
        </w:rPr>
      </w:pPr>
      <w:r w:rsidRPr="008778F6">
        <w:rPr>
          <w:rFonts w:ascii="Arial" w:hAnsi="Arial" w:cs="Arial"/>
        </w:rPr>
        <w:t>Equipamentos de apoio às atividades de zeladoria;</w:t>
      </w:r>
    </w:p>
    <w:p w14:paraId="36B54911" w14:textId="77777777" w:rsidR="0090536B" w:rsidRPr="008778F6" w:rsidRDefault="0090536B" w:rsidP="0090536B">
      <w:pPr>
        <w:spacing w:after="0"/>
        <w:jc w:val="both"/>
        <w:rPr>
          <w:rFonts w:ascii="Arial" w:hAnsi="Arial" w:cs="Arial"/>
        </w:rPr>
      </w:pPr>
      <w:r w:rsidRPr="008778F6">
        <w:rPr>
          <w:rFonts w:ascii="Arial" w:hAnsi="Arial" w:cs="Arial"/>
        </w:rPr>
        <w:t>5</w:t>
      </w:r>
    </w:p>
    <w:p w14:paraId="63C0D3B6" w14:textId="77777777" w:rsidR="0090536B" w:rsidRPr="008778F6" w:rsidRDefault="0090536B" w:rsidP="0090536B">
      <w:pPr>
        <w:spacing w:after="0"/>
        <w:jc w:val="both"/>
        <w:rPr>
          <w:rFonts w:ascii="Arial" w:hAnsi="Arial" w:cs="Arial"/>
        </w:rPr>
      </w:pPr>
      <w:r w:rsidRPr="008778F6">
        <w:rPr>
          <w:rFonts w:ascii="Arial" w:hAnsi="Arial" w:cs="Arial"/>
        </w:rPr>
        <w:t>Espaço da melhor idade, com atividades e equipamentos</w:t>
      </w:r>
      <w:r>
        <w:rPr>
          <w:rFonts w:ascii="Arial" w:hAnsi="Arial" w:cs="Arial"/>
        </w:rPr>
        <w:t xml:space="preserve"> </w:t>
      </w:r>
      <w:r w:rsidRPr="008778F6">
        <w:rPr>
          <w:rFonts w:ascii="Arial" w:hAnsi="Arial" w:cs="Arial"/>
        </w:rPr>
        <w:t>específicos para idosos;</w:t>
      </w:r>
    </w:p>
    <w:p w14:paraId="7786D258" w14:textId="77777777" w:rsidR="0090536B" w:rsidRPr="008778F6" w:rsidRDefault="0090536B" w:rsidP="0090536B">
      <w:pPr>
        <w:spacing w:after="0"/>
        <w:jc w:val="both"/>
        <w:rPr>
          <w:rFonts w:ascii="Arial" w:hAnsi="Arial" w:cs="Arial"/>
        </w:rPr>
      </w:pPr>
      <w:r w:rsidRPr="008778F6">
        <w:rPr>
          <w:rFonts w:ascii="Arial" w:hAnsi="Arial" w:cs="Arial"/>
        </w:rPr>
        <w:t>25</w:t>
      </w:r>
    </w:p>
    <w:p w14:paraId="0A406306" w14:textId="77777777" w:rsidR="0090536B" w:rsidRPr="008778F6" w:rsidRDefault="0090536B" w:rsidP="0090536B">
      <w:pPr>
        <w:spacing w:after="0"/>
        <w:jc w:val="both"/>
        <w:rPr>
          <w:rFonts w:ascii="Arial" w:hAnsi="Arial" w:cs="Arial"/>
        </w:rPr>
      </w:pPr>
      <w:r w:rsidRPr="008778F6">
        <w:rPr>
          <w:rFonts w:ascii="Arial" w:hAnsi="Arial" w:cs="Arial"/>
        </w:rPr>
        <w:t>Espaço adaptado com atividades e equipamentos específicos para pessoas com deficiência;</w:t>
      </w:r>
    </w:p>
    <w:p w14:paraId="632383C4" w14:textId="77777777" w:rsidR="0090536B" w:rsidRPr="008778F6" w:rsidRDefault="0090536B" w:rsidP="0090536B">
      <w:pPr>
        <w:spacing w:after="0"/>
        <w:jc w:val="both"/>
        <w:rPr>
          <w:rFonts w:ascii="Arial" w:hAnsi="Arial" w:cs="Arial"/>
        </w:rPr>
      </w:pPr>
      <w:r w:rsidRPr="008778F6">
        <w:rPr>
          <w:rFonts w:ascii="Arial" w:hAnsi="Arial" w:cs="Arial"/>
        </w:rPr>
        <w:t>25</w:t>
      </w:r>
    </w:p>
    <w:p w14:paraId="6482E4F2" w14:textId="77777777" w:rsidR="0090536B" w:rsidRPr="008778F6" w:rsidRDefault="0090536B" w:rsidP="0090536B">
      <w:pPr>
        <w:spacing w:after="0"/>
        <w:jc w:val="both"/>
        <w:rPr>
          <w:rFonts w:ascii="Arial" w:hAnsi="Arial" w:cs="Arial"/>
        </w:rPr>
      </w:pPr>
      <w:r w:rsidRPr="008778F6">
        <w:rPr>
          <w:rFonts w:ascii="Arial" w:hAnsi="Arial" w:cs="Arial"/>
        </w:rPr>
        <w:t xml:space="preserve">Espaço fechado para cães, também conhecido como </w:t>
      </w:r>
      <w:proofErr w:type="spellStart"/>
      <w:r w:rsidRPr="008778F6">
        <w:rPr>
          <w:rFonts w:ascii="Arial" w:hAnsi="Arial" w:cs="Arial"/>
        </w:rPr>
        <w:t>parcão</w:t>
      </w:r>
      <w:proofErr w:type="spellEnd"/>
      <w:r w:rsidRPr="008778F6">
        <w:rPr>
          <w:rFonts w:ascii="Arial" w:hAnsi="Arial" w:cs="Arial"/>
        </w:rPr>
        <w:t>;</w:t>
      </w:r>
    </w:p>
    <w:p w14:paraId="0C960397" w14:textId="77777777" w:rsidR="0090536B" w:rsidRPr="008778F6" w:rsidRDefault="0090536B" w:rsidP="0090536B">
      <w:pPr>
        <w:spacing w:after="0"/>
        <w:jc w:val="both"/>
        <w:rPr>
          <w:rFonts w:ascii="Arial" w:hAnsi="Arial" w:cs="Arial"/>
        </w:rPr>
      </w:pPr>
      <w:r w:rsidRPr="008778F6">
        <w:rPr>
          <w:rFonts w:ascii="Arial" w:hAnsi="Arial" w:cs="Arial"/>
        </w:rPr>
        <w:t>25</w:t>
      </w:r>
    </w:p>
    <w:p w14:paraId="72146C01" w14:textId="77777777" w:rsidR="0090536B" w:rsidRPr="008778F6" w:rsidRDefault="0090536B" w:rsidP="0090536B">
      <w:pPr>
        <w:spacing w:after="0"/>
        <w:jc w:val="both"/>
        <w:rPr>
          <w:rFonts w:ascii="Arial" w:hAnsi="Arial" w:cs="Arial"/>
        </w:rPr>
      </w:pPr>
      <w:r w:rsidRPr="008778F6">
        <w:rPr>
          <w:rFonts w:ascii="Arial" w:hAnsi="Arial" w:cs="Arial"/>
        </w:rPr>
        <w:t>Parque infantil;</w:t>
      </w:r>
    </w:p>
    <w:p w14:paraId="14804C64" w14:textId="77777777" w:rsidR="0090536B" w:rsidRPr="008778F6" w:rsidRDefault="0090536B" w:rsidP="0090536B">
      <w:pPr>
        <w:spacing w:after="0"/>
        <w:jc w:val="both"/>
        <w:rPr>
          <w:rFonts w:ascii="Arial" w:hAnsi="Arial" w:cs="Arial"/>
        </w:rPr>
      </w:pPr>
      <w:r w:rsidRPr="008778F6">
        <w:rPr>
          <w:rFonts w:ascii="Arial" w:hAnsi="Arial" w:cs="Arial"/>
        </w:rPr>
        <w:t>25</w:t>
      </w:r>
    </w:p>
    <w:p w14:paraId="18FF4CB5" w14:textId="77777777" w:rsidR="0090536B" w:rsidRPr="008778F6" w:rsidRDefault="0090536B" w:rsidP="0090536B">
      <w:pPr>
        <w:spacing w:after="0"/>
        <w:jc w:val="both"/>
        <w:rPr>
          <w:rFonts w:ascii="Arial" w:hAnsi="Arial" w:cs="Arial"/>
        </w:rPr>
      </w:pPr>
      <w:r w:rsidRPr="008778F6">
        <w:rPr>
          <w:rFonts w:ascii="Arial" w:hAnsi="Arial" w:cs="Arial"/>
        </w:rPr>
        <w:t>Equipamentos para exercícios físicos e práticas desportivas</w:t>
      </w:r>
      <w:r>
        <w:rPr>
          <w:rFonts w:ascii="Arial" w:hAnsi="Arial" w:cs="Arial"/>
        </w:rPr>
        <w:t xml:space="preserve"> </w:t>
      </w:r>
      <w:r w:rsidRPr="008778F6">
        <w:rPr>
          <w:rFonts w:ascii="Arial" w:hAnsi="Arial" w:cs="Arial"/>
        </w:rPr>
        <w:t>não formais.</w:t>
      </w:r>
    </w:p>
    <w:p w14:paraId="152E6DF5" w14:textId="324A324B" w:rsidR="0090536B" w:rsidRDefault="0090536B" w:rsidP="0090536B">
      <w:pPr>
        <w:spacing w:after="0"/>
        <w:jc w:val="both"/>
        <w:rPr>
          <w:rFonts w:ascii="Arial" w:hAnsi="Arial" w:cs="Arial"/>
        </w:rPr>
      </w:pPr>
      <w:r w:rsidRPr="008778F6">
        <w:rPr>
          <w:rFonts w:ascii="Arial" w:hAnsi="Arial" w:cs="Arial"/>
        </w:rPr>
        <w:t>25</w:t>
      </w:r>
    </w:p>
    <w:p w14:paraId="63782F1A" w14:textId="77777777" w:rsidR="0090536B" w:rsidRDefault="0090536B" w:rsidP="0090536B">
      <w:pPr>
        <w:spacing w:after="0"/>
        <w:jc w:val="both"/>
        <w:rPr>
          <w:rFonts w:ascii="Arial" w:hAnsi="Arial" w:cs="Arial"/>
        </w:rPr>
      </w:pPr>
    </w:p>
    <w:p w14:paraId="313D1E4E" w14:textId="14B3D9B5" w:rsidR="0090536B" w:rsidRDefault="0090536B" w:rsidP="0090536B">
      <w:pPr>
        <w:spacing w:after="0"/>
        <w:jc w:val="both"/>
        <w:rPr>
          <w:rFonts w:ascii="Arial" w:hAnsi="Arial" w:cs="Arial"/>
          <w:b/>
          <w:bCs/>
        </w:rPr>
      </w:pPr>
      <w:r w:rsidRPr="009A3C10">
        <w:rPr>
          <w:rFonts w:ascii="Arial" w:hAnsi="Arial" w:cs="Arial"/>
          <w:b/>
          <w:bCs/>
        </w:rPr>
        <w:t>ANEXO II</w:t>
      </w:r>
    </w:p>
    <w:p w14:paraId="52B39F63" w14:textId="77777777" w:rsidR="0090536B" w:rsidRPr="009A3C10" w:rsidRDefault="0090536B" w:rsidP="0090536B">
      <w:pPr>
        <w:spacing w:after="0"/>
        <w:jc w:val="both"/>
        <w:rPr>
          <w:rFonts w:ascii="Arial" w:hAnsi="Arial" w:cs="Arial"/>
          <w:b/>
          <w:bCs/>
        </w:rPr>
      </w:pPr>
    </w:p>
    <w:p w14:paraId="10C0690F" w14:textId="77777777" w:rsidR="0090536B" w:rsidRPr="009A3C10" w:rsidRDefault="0090536B" w:rsidP="0090536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9A3C10">
        <w:rPr>
          <w:rFonts w:ascii="Arial" w:hAnsi="Arial" w:cs="Arial"/>
          <w:b/>
          <w:bCs/>
          <w:i/>
          <w:iCs/>
        </w:rPr>
        <w:t>EQUIPAMENTOS E MOBILIÁRIOS URBANOS</w:t>
      </w:r>
    </w:p>
    <w:p w14:paraId="408B2C4E" w14:textId="4FF6805E" w:rsidR="0090536B" w:rsidRDefault="0090536B" w:rsidP="0090536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9A3C10">
        <w:rPr>
          <w:rFonts w:ascii="Arial" w:hAnsi="Arial" w:cs="Arial"/>
          <w:b/>
          <w:bCs/>
          <w:i/>
          <w:iCs/>
        </w:rPr>
        <w:t>PONTUAÇÃO / PESO</w:t>
      </w:r>
    </w:p>
    <w:p w14:paraId="3EA7631A" w14:textId="77777777" w:rsidR="0090536B" w:rsidRPr="009A3C10" w:rsidRDefault="0090536B" w:rsidP="0090536B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362F8D98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Parque Infantil;</w:t>
      </w:r>
    </w:p>
    <w:p w14:paraId="5957D137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1,5</w:t>
      </w:r>
    </w:p>
    <w:p w14:paraId="19021262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lastRenderedPageBreak/>
        <w:t>Espaço adaptado com atividades e equipamentos específicos para pessoas com deficiência;</w:t>
      </w:r>
    </w:p>
    <w:p w14:paraId="7F88068D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1,4</w:t>
      </w:r>
    </w:p>
    <w:p w14:paraId="20703DF8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Equipamentos para exercícios físicos e práticas desportivas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não formais;</w:t>
      </w:r>
    </w:p>
    <w:p w14:paraId="0D06188E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1,3</w:t>
      </w:r>
    </w:p>
    <w:p w14:paraId="3DE8C1AC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 xml:space="preserve">Espaço fechado para cães, também conhecido como </w:t>
      </w:r>
      <w:proofErr w:type="spellStart"/>
      <w:r w:rsidRPr="00895C8A">
        <w:rPr>
          <w:rFonts w:ascii="Arial" w:hAnsi="Arial" w:cs="Arial"/>
        </w:rPr>
        <w:t>parcão</w:t>
      </w:r>
      <w:proofErr w:type="spellEnd"/>
      <w:r w:rsidRPr="00895C8A">
        <w:rPr>
          <w:rFonts w:ascii="Arial" w:hAnsi="Arial" w:cs="Arial"/>
        </w:rPr>
        <w:t>.</w:t>
      </w:r>
    </w:p>
    <w:p w14:paraId="255AC545" w14:textId="3691A4D4" w:rsidR="0090536B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1,2</w:t>
      </w:r>
    </w:p>
    <w:p w14:paraId="0C6D1E54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</w:p>
    <w:p w14:paraId="264E9D1E" w14:textId="513130AA" w:rsidR="0090536B" w:rsidRDefault="0090536B" w:rsidP="0090536B">
      <w:pPr>
        <w:spacing w:after="0"/>
        <w:jc w:val="both"/>
        <w:rPr>
          <w:rFonts w:ascii="Arial" w:hAnsi="Arial" w:cs="Arial"/>
          <w:b/>
          <w:bCs/>
        </w:rPr>
      </w:pPr>
      <w:r w:rsidRPr="009A3C10">
        <w:rPr>
          <w:rFonts w:ascii="Arial" w:hAnsi="Arial" w:cs="Arial"/>
          <w:b/>
          <w:bCs/>
        </w:rPr>
        <w:t>ANEXO III</w:t>
      </w:r>
    </w:p>
    <w:p w14:paraId="6724D3C7" w14:textId="77777777" w:rsidR="0090536B" w:rsidRPr="009A3C10" w:rsidRDefault="0090536B" w:rsidP="0090536B">
      <w:pPr>
        <w:spacing w:after="0"/>
        <w:jc w:val="both"/>
        <w:rPr>
          <w:rFonts w:ascii="Arial" w:hAnsi="Arial" w:cs="Arial"/>
          <w:b/>
          <w:bCs/>
        </w:rPr>
      </w:pPr>
    </w:p>
    <w:p w14:paraId="30EE5274" w14:textId="0ADD7A53" w:rsidR="0090536B" w:rsidRDefault="0090536B" w:rsidP="0090536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9A3C10">
        <w:rPr>
          <w:rFonts w:ascii="Arial" w:hAnsi="Arial" w:cs="Arial"/>
          <w:b/>
          <w:bCs/>
          <w:i/>
          <w:iCs/>
        </w:rPr>
        <w:t>DECLARAÇÕES DE RESPONSABILIDADE</w:t>
      </w:r>
    </w:p>
    <w:p w14:paraId="6DAA6D62" w14:textId="77777777" w:rsidR="0090536B" w:rsidRPr="009A3C10" w:rsidRDefault="0090536B" w:rsidP="0090536B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41DDFBB7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O(a) Cooperante DECLARA que será o(a) único(a) responsável pela realização dos serviços e obras descritos no termo de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cooperação, bem como por quaisquer danos deles decorrentes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causados à Administração Pública Municipal e a terceiros.</w:t>
      </w:r>
    </w:p>
    <w:p w14:paraId="7C0E7192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O(a) Cooperante DECLARA que os serviços e obras serão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executados de acordo com a proposta e projeto apresentados,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com as normas técnicas e a legislação aplicáveis, assumindo a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responsabilidade legal pela veracidade desta declaração.</w:t>
      </w:r>
    </w:p>
    <w:p w14:paraId="5127E2ED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O(a) Cooperante expressa a sua concordância quanto às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condições que integram o Termo de Cooperação.</w:t>
      </w:r>
    </w:p>
    <w:p w14:paraId="023985BA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O(a) Cooperante DECLARA que não impedirá ou bloqueará a realização de obras de melhoria da Prefeitura, a serem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realizadas por empresas concessionárias e permissionárias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autorizadas.</w:t>
      </w:r>
    </w:p>
    <w:p w14:paraId="73CBEC0F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O(a) Cooperante DECLARA que não utilizará a área adotada para fins comerciais e serviços.</w:t>
      </w:r>
    </w:p>
    <w:p w14:paraId="712C0431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O(a) Cooperante DECLARA que não impedirá realização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de eventos culturais e esportivos, e que estes apenas poderão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ocorrer mediante autorização da Subprefeitura e de outros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órgãos públicos competentes.</w:t>
      </w:r>
    </w:p>
    <w:p w14:paraId="40A9CF9A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O(a) Cooperante DECLARA que os serviços, equipamentos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e mobiliários a serem implantados não poderão restringir o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acesso à área objeto da cooperação ou que impliquem alteração de seu uso.</w:t>
      </w:r>
    </w:p>
    <w:p w14:paraId="4D8E0DE7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O(a) Cooperante DECLARA que irá efetuar a manutenção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daquilo que encontrar em boas condições, priorizando a recuperação da paisagem urbana e a manutenção da biodiversidade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existente.</w:t>
      </w:r>
    </w:p>
    <w:p w14:paraId="5DB83148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O(a) Cooperante DECLARA que irá efetuar, com a frequência mínima abaixo indicada, a manutenção da área adotada: (A)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Semanalmente a limpeza da área; (B) Mensalmente o corte de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grama e despraguejamento.</w:t>
      </w:r>
    </w:p>
    <w:p w14:paraId="7E47733D" w14:textId="25240E33" w:rsidR="0090536B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O(a) Cooperante DECLARA estar CIENTE de que, não executando os serviços mínimos de manutenção ou a implantação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do projeto indicado, poderá perder a cooperação para a área,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e que esta informação poderá constar no site para consulta</w:t>
      </w:r>
      <w:r>
        <w:rPr>
          <w:rFonts w:ascii="Arial" w:hAnsi="Arial" w:cs="Arial"/>
        </w:rPr>
        <w:t xml:space="preserve"> </w:t>
      </w:r>
      <w:r w:rsidRPr="00895C8A">
        <w:rPr>
          <w:rFonts w:ascii="Arial" w:hAnsi="Arial" w:cs="Arial"/>
        </w:rPr>
        <w:t>pública.</w:t>
      </w:r>
    </w:p>
    <w:p w14:paraId="73416EAD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</w:p>
    <w:p w14:paraId="161CF46F" w14:textId="303FCCDF" w:rsidR="0090536B" w:rsidRDefault="0090536B" w:rsidP="0090536B">
      <w:pPr>
        <w:spacing w:after="0"/>
        <w:jc w:val="both"/>
        <w:rPr>
          <w:rFonts w:ascii="Arial" w:hAnsi="Arial" w:cs="Arial"/>
          <w:b/>
          <w:bCs/>
        </w:rPr>
      </w:pPr>
      <w:r w:rsidRPr="009A3C10">
        <w:rPr>
          <w:rFonts w:ascii="Arial" w:hAnsi="Arial" w:cs="Arial"/>
          <w:b/>
          <w:bCs/>
        </w:rPr>
        <w:t>ANEXO IV</w:t>
      </w:r>
    </w:p>
    <w:p w14:paraId="1AA361C1" w14:textId="77777777" w:rsidR="0090536B" w:rsidRPr="009A3C10" w:rsidRDefault="0090536B" w:rsidP="0090536B">
      <w:pPr>
        <w:spacing w:after="0"/>
        <w:jc w:val="both"/>
        <w:rPr>
          <w:rFonts w:ascii="Arial" w:hAnsi="Arial" w:cs="Arial"/>
          <w:b/>
          <w:bCs/>
        </w:rPr>
      </w:pPr>
    </w:p>
    <w:p w14:paraId="6FD9F0CE" w14:textId="08E9DB52" w:rsidR="0090536B" w:rsidRDefault="0090536B" w:rsidP="0090536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9A3C10">
        <w:rPr>
          <w:rFonts w:ascii="Arial" w:hAnsi="Arial" w:cs="Arial"/>
          <w:b/>
          <w:bCs/>
          <w:i/>
          <w:iCs/>
        </w:rPr>
        <w:t>Indivíduos arbóreos para plantio</w:t>
      </w:r>
    </w:p>
    <w:p w14:paraId="0E8F80BB" w14:textId="77777777" w:rsidR="0090536B" w:rsidRPr="009A3C10" w:rsidRDefault="0090536B" w:rsidP="0090536B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16F80EAB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Grama Esmeralda</w:t>
      </w:r>
    </w:p>
    <w:p w14:paraId="4557651A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Grama Amendoim</w:t>
      </w:r>
    </w:p>
    <w:p w14:paraId="44CE6C03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Hera Roxa</w:t>
      </w:r>
    </w:p>
    <w:p w14:paraId="3E129990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proofErr w:type="spellStart"/>
      <w:r w:rsidRPr="00895C8A">
        <w:rPr>
          <w:rFonts w:ascii="Arial" w:hAnsi="Arial" w:cs="Arial"/>
        </w:rPr>
        <w:t>Vedélia</w:t>
      </w:r>
      <w:proofErr w:type="spellEnd"/>
    </w:p>
    <w:p w14:paraId="6A9A076C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proofErr w:type="spellStart"/>
      <w:r w:rsidRPr="00895C8A">
        <w:rPr>
          <w:rFonts w:ascii="Arial" w:hAnsi="Arial" w:cs="Arial"/>
        </w:rPr>
        <w:t>Singônio</w:t>
      </w:r>
      <w:proofErr w:type="spellEnd"/>
    </w:p>
    <w:p w14:paraId="321B9978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proofErr w:type="spellStart"/>
      <w:r w:rsidRPr="00895C8A">
        <w:rPr>
          <w:rFonts w:ascii="Arial" w:hAnsi="Arial" w:cs="Arial"/>
        </w:rPr>
        <w:t>Lantana</w:t>
      </w:r>
      <w:proofErr w:type="spellEnd"/>
      <w:r w:rsidRPr="00895C8A">
        <w:rPr>
          <w:rFonts w:ascii="Arial" w:hAnsi="Arial" w:cs="Arial"/>
        </w:rPr>
        <w:t xml:space="preserve"> Amarela</w:t>
      </w:r>
    </w:p>
    <w:p w14:paraId="67DB6543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proofErr w:type="spellStart"/>
      <w:r w:rsidRPr="00895C8A">
        <w:rPr>
          <w:rFonts w:ascii="Arial" w:hAnsi="Arial" w:cs="Arial"/>
        </w:rPr>
        <w:t>Clorofito</w:t>
      </w:r>
      <w:proofErr w:type="spellEnd"/>
    </w:p>
    <w:p w14:paraId="66C89EEB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Dracena</w:t>
      </w:r>
    </w:p>
    <w:p w14:paraId="39858692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proofErr w:type="spellStart"/>
      <w:r w:rsidRPr="00895C8A">
        <w:rPr>
          <w:rFonts w:ascii="Arial" w:hAnsi="Arial" w:cs="Arial"/>
        </w:rPr>
        <w:t>Clusia</w:t>
      </w:r>
      <w:proofErr w:type="spellEnd"/>
    </w:p>
    <w:p w14:paraId="528869C7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Moreia</w:t>
      </w:r>
    </w:p>
    <w:p w14:paraId="564ECFDB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proofErr w:type="spellStart"/>
      <w:r w:rsidRPr="00895C8A">
        <w:rPr>
          <w:rFonts w:ascii="Arial" w:hAnsi="Arial" w:cs="Arial"/>
        </w:rPr>
        <w:t>Maranta</w:t>
      </w:r>
      <w:proofErr w:type="spellEnd"/>
    </w:p>
    <w:p w14:paraId="2888F939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lastRenderedPageBreak/>
        <w:t>Agapantos</w:t>
      </w:r>
    </w:p>
    <w:p w14:paraId="29CDD26E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Iris da Praia</w:t>
      </w:r>
    </w:p>
    <w:p w14:paraId="580E8DD1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Costela de Adão</w:t>
      </w:r>
    </w:p>
    <w:p w14:paraId="41636C2F" w14:textId="77777777" w:rsidR="0090536B" w:rsidRPr="00895C8A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Capim do Texas</w:t>
      </w:r>
    </w:p>
    <w:p w14:paraId="1E3A1813" w14:textId="77777777" w:rsidR="0090536B" w:rsidRDefault="0090536B" w:rsidP="0090536B">
      <w:pPr>
        <w:spacing w:after="0"/>
        <w:jc w:val="both"/>
        <w:rPr>
          <w:rFonts w:ascii="Arial" w:hAnsi="Arial" w:cs="Arial"/>
        </w:rPr>
      </w:pPr>
      <w:r w:rsidRPr="00895C8A">
        <w:rPr>
          <w:rFonts w:ascii="Arial" w:hAnsi="Arial" w:cs="Arial"/>
        </w:rPr>
        <w:t>Agave</w:t>
      </w:r>
    </w:p>
    <w:p w14:paraId="35BA51F1" w14:textId="77777777" w:rsidR="0090536B" w:rsidRDefault="0090536B" w:rsidP="0090536B">
      <w:pPr>
        <w:spacing w:after="0"/>
        <w:jc w:val="both"/>
        <w:rPr>
          <w:rFonts w:ascii="Arial" w:hAnsi="Arial" w:cs="Arial"/>
        </w:rPr>
      </w:pPr>
    </w:p>
    <w:p w14:paraId="2F0466DD" w14:textId="6AB7B83E" w:rsidR="0090536B" w:rsidRPr="0090536B" w:rsidRDefault="0090536B" w:rsidP="0090536B">
      <w:pPr>
        <w:spacing w:after="0"/>
        <w:jc w:val="both"/>
        <w:rPr>
          <w:rFonts w:ascii="Arial" w:hAnsi="Arial" w:cs="Arial"/>
        </w:rPr>
      </w:pPr>
    </w:p>
    <w:sectPr w:rsidR="0090536B" w:rsidRPr="0090536B" w:rsidSect="0090536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6B"/>
    <w:rsid w:val="0090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6F0D"/>
  <w15:chartTrackingRefBased/>
  <w15:docId w15:val="{D402BE11-4496-43C5-93FD-9E863093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3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1344</Words>
  <Characters>7260</Characters>
  <Application>Microsoft Office Word</Application>
  <DocSecurity>0</DocSecurity>
  <Lines>60</Lines>
  <Paragraphs>17</Paragraphs>
  <ScaleCrop>false</ScaleCrop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2022-03-26T10:07:00Z</dcterms:created>
  <dcterms:modified xsi:type="dcterms:W3CDTF">2022-03-26T10:09:00Z</dcterms:modified>
</cp:coreProperties>
</file>