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5741" w14:textId="1CB86FCC" w:rsidR="0077391B" w:rsidRDefault="0077391B" w:rsidP="00773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 15/01/2022 - pp. 84 a 87</w:t>
      </w:r>
    </w:p>
    <w:p w14:paraId="6AA5A5EC" w14:textId="6FDB2D24" w:rsidR="009A6298" w:rsidRDefault="009A6298" w:rsidP="0077391B">
      <w:pPr>
        <w:spacing w:after="0"/>
        <w:jc w:val="both"/>
        <w:rPr>
          <w:rFonts w:ascii="Arial" w:hAnsi="Arial" w:cs="Arial"/>
        </w:rPr>
      </w:pPr>
    </w:p>
    <w:p w14:paraId="61502AB2" w14:textId="77777777" w:rsidR="009A6298" w:rsidRPr="00F20FB9" w:rsidRDefault="009A6298" w:rsidP="009A6298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SECRETARIA DA CÂMARA</w:t>
      </w:r>
    </w:p>
    <w:p w14:paraId="5B82DAB6" w14:textId="77777777" w:rsidR="009A6298" w:rsidRPr="00F20FB9" w:rsidRDefault="009A6298" w:rsidP="009A6298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PRESIDÊNCIA</w:t>
      </w:r>
    </w:p>
    <w:p w14:paraId="460D4F1C" w14:textId="77777777" w:rsidR="009A6298" w:rsidRDefault="009A6298" w:rsidP="009A6298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ESCOLA DO PARLAMENTO</w:t>
      </w:r>
    </w:p>
    <w:p w14:paraId="41DD2710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5C307178" w14:textId="77777777" w:rsidR="0077391B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66766E">
        <w:rPr>
          <w:rFonts w:ascii="Arial" w:hAnsi="Arial" w:cs="Arial"/>
          <w:b/>
          <w:bCs/>
        </w:rPr>
        <w:t>EDITAL EP 02/2022</w:t>
      </w:r>
    </w:p>
    <w:p w14:paraId="497DEE92" w14:textId="77777777" w:rsidR="0077391B" w:rsidRPr="0066766E" w:rsidRDefault="0077391B" w:rsidP="0077391B">
      <w:pPr>
        <w:spacing w:after="0"/>
        <w:jc w:val="both"/>
        <w:rPr>
          <w:rFonts w:ascii="Arial" w:hAnsi="Arial" w:cs="Arial"/>
          <w:b/>
          <w:bCs/>
        </w:rPr>
      </w:pPr>
    </w:p>
    <w:p w14:paraId="7F36390B" w14:textId="77777777" w:rsidR="0077391B" w:rsidRDefault="0077391B" w:rsidP="0077391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6766E">
        <w:rPr>
          <w:rFonts w:ascii="Arial" w:hAnsi="Arial" w:cs="Arial"/>
          <w:b/>
          <w:bCs/>
          <w:i/>
          <w:iCs/>
        </w:rPr>
        <w:t>EDITAL DE CREDENCIAMENTO DE ATIVIDADE PARA O CURSO DE EXTENSÃO UNIVERSITÁRIA “POLÍTICAS PÚBLICAS DE HABITAÇÃO: DESAFIOS E PERSPECTIVAS DO DIREITO À MORADIA E DO DIREITO À CIDADE” DA ESCOLA DO PARLAMENTO</w:t>
      </w:r>
    </w:p>
    <w:p w14:paraId="5E374B50" w14:textId="77777777" w:rsidR="0077391B" w:rsidRPr="0066766E" w:rsidRDefault="0077391B" w:rsidP="0077391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A5120B2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F20FB9">
        <w:rPr>
          <w:rFonts w:ascii="Arial" w:hAnsi="Arial" w:cs="Arial"/>
        </w:rPr>
        <w:t>Art. 1º O Diretor-Presidente da Escola do Parlamento da Câmara Municipal de São Paulo, no uso de suas atribuições e considerando as disposições expressas na Lei Municipal nº 15.506/11 e alterações posteriores, e no Ato nº 1.388/17, torna público o Edital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de Credenciamento de Atividade para a contratação de docentes interessados em atuar de maneira remunerada, conforme dispõe o</w:t>
      </w:r>
      <w:r>
        <w:rPr>
          <w:rFonts w:ascii="Arial" w:hAnsi="Arial" w:cs="Arial"/>
        </w:rPr>
        <w:t xml:space="preserve"> </w:t>
      </w:r>
      <w:r w:rsidRPr="00F20FB9">
        <w:rPr>
          <w:rFonts w:ascii="Arial" w:hAnsi="Arial" w:cs="Arial"/>
        </w:rPr>
        <w:t>artigo 5º do referido Ato, na atividade da Escola do Parlamento descrita a seguir:</w:t>
      </w:r>
    </w:p>
    <w:p w14:paraId="655FFDF7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2E9EDA80" w14:textId="18D3F8B6" w:rsidR="0077391B" w:rsidRDefault="0077391B" w:rsidP="00773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65CBDFB" wp14:editId="2EF0F265">
            <wp:extent cx="6244683" cy="6135764"/>
            <wp:effectExtent l="0" t="0" r="3810" b="0"/>
            <wp:docPr id="14" name="Imagem 14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Texto, Cart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988" cy="614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91112" w14:textId="77777777" w:rsidR="00EF37BD" w:rsidRDefault="00EF37BD" w:rsidP="0077391B">
      <w:pPr>
        <w:spacing w:after="0"/>
        <w:jc w:val="both"/>
        <w:rPr>
          <w:rFonts w:ascii="Arial" w:hAnsi="Arial" w:cs="Arial"/>
        </w:rPr>
      </w:pPr>
    </w:p>
    <w:p w14:paraId="1F313E50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Parágrafo único. O candidato credenciado e convocado para contratação será contratado para cumprir carga horária de 14h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como facilitador de aprendizagem e 6h como conteudista.</w:t>
      </w:r>
    </w:p>
    <w:p w14:paraId="3F30466C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3A0A8263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2º As especificações técnicas de todas as atividades constam do Anexo I deste Edital.</w:t>
      </w:r>
    </w:p>
    <w:p w14:paraId="4038F20C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63AA8748" w14:textId="77777777" w:rsidR="0077391B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66766E">
        <w:rPr>
          <w:rFonts w:ascii="Arial" w:hAnsi="Arial" w:cs="Arial"/>
          <w:b/>
          <w:bCs/>
        </w:rPr>
        <w:t>Do Processo de Credenciamento de Profissionais para atuarem como Facilitadores de Aprendizagem e Conteudistas no Curso de Extensão “Políticas públicas de habitação: desafios e perspectivas do direito à moradia e do direito à Cidade.”</w:t>
      </w:r>
    </w:p>
    <w:p w14:paraId="2014B597" w14:textId="77777777" w:rsidR="0077391B" w:rsidRPr="0066766E" w:rsidRDefault="0077391B" w:rsidP="0077391B">
      <w:pPr>
        <w:spacing w:after="0"/>
        <w:jc w:val="both"/>
        <w:rPr>
          <w:rFonts w:ascii="Arial" w:hAnsi="Arial" w:cs="Arial"/>
          <w:b/>
          <w:bCs/>
        </w:rPr>
      </w:pPr>
    </w:p>
    <w:p w14:paraId="558732ED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3º Este edital visa credenciar e habilitar docentes a serem contratados nos termos do Ato nº 1.388/2017 da Mesa Diretora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da Câmara Municipal de São Paulo, na forma da Lei Municipal nº 15.501/2011, alterada pela Lei nº 16.671/2017.</w:t>
      </w:r>
    </w:p>
    <w:p w14:paraId="3EB99C78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71B4706C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lastRenderedPageBreak/>
        <w:t>Art. 4º Serão credenciados e habilitados todos os profissionais que cumprirem os requisitos estabelecidos neste Edital.</w:t>
      </w:r>
    </w:p>
    <w:p w14:paraId="3249CE5B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547E3AEB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5º Os profissionais credenciados e habilitados serão classificados de acordo com os critérios de pontuação estabelecidos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neste Edital e convocados para a contratação como facilitadores de aprendizagem e conteudistas mediante calendário de oferta do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curso e considerando o planejamento e as necessidades da Escola do Parlamento.</w:t>
      </w:r>
    </w:p>
    <w:p w14:paraId="09A73C9D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Parágrafo único. o presente Edital não exclui a possibilidade de a Administração Pública contratar profissionais visitantes, com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fundamento no art. 25, II, da Lei Federal nº. 8.666 de 1993, no Decreto Municipal nº 44.279 de 2003 e no Ato nº 1.388 de 2017,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visando ao atendimento das necessidades específicas das diretrizes e metas propostas pela Escola do Parlamento, observando os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casos legais específicos aplicáveis.</w:t>
      </w:r>
    </w:p>
    <w:p w14:paraId="6FCD1472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29964935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6º O profissional que tiver seu credenciamento deferido, nos termos deste edital, passará a compor a lista de profissionais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 xml:space="preserve">credenciados para a realização desta atividade pelo prazo de 2 (dois) anos, a contar da data da publicação do </w:t>
      </w:r>
      <w:proofErr w:type="gramStart"/>
      <w:r w:rsidRPr="00112249">
        <w:rPr>
          <w:rFonts w:ascii="Arial" w:hAnsi="Arial" w:cs="Arial"/>
        </w:rPr>
        <w:t>resultado final</w:t>
      </w:r>
      <w:proofErr w:type="gramEnd"/>
      <w:r w:rsidRPr="00112249">
        <w:rPr>
          <w:rFonts w:ascii="Arial" w:hAnsi="Arial" w:cs="Arial"/>
        </w:rPr>
        <w:t xml:space="preserve"> deste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edital.</w:t>
      </w:r>
    </w:p>
    <w:p w14:paraId="05835066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19AFF9E0" w14:textId="77777777" w:rsidR="0077391B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66766E">
        <w:rPr>
          <w:rFonts w:ascii="Arial" w:hAnsi="Arial" w:cs="Arial"/>
          <w:b/>
          <w:bCs/>
        </w:rPr>
        <w:t>Da inscrição para o credenciamento</w:t>
      </w:r>
    </w:p>
    <w:p w14:paraId="0F11CF49" w14:textId="77777777" w:rsidR="0077391B" w:rsidRPr="0066766E" w:rsidRDefault="0077391B" w:rsidP="0077391B">
      <w:pPr>
        <w:spacing w:after="0"/>
        <w:jc w:val="both"/>
        <w:rPr>
          <w:rFonts w:ascii="Arial" w:hAnsi="Arial" w:cs="Arial"/>
          <w:b/>
          <w:bCs/>
        </w:rPr>
      </w:pPr>
    </w:p>
    <w:p w14:paraId="3949CCE1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7º As inscrições para este processo de credenciamento serão realizadas, exclusivamente, por meio de formulário digital,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disponível no site da Escola do Parlamento.</w:t>
      </w:r>
    </w:p>
    <w:p w14:paraId="5F45B7C4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1º. As inscrições serão recebidas a partir das 10h00 do dia 17 de janeiro de 2022, estendendo-se até às 23h59 do dia 8 de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fevereiro de 2022, tendo como referência o horário de Brasília.</w:t>
      </w:r>
    </w:p>
    <w:p w14:paraId="10A7C6DA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 xml:space="preserve">§ 2º. Cumprindo o disposto na legislação vigente, os profissionais que fazem parte do </w:t>
      </w:r>
      <w:proofErr w:type="spellStart"/>
      <w:r w:rsidRPr="00112249">
        <w:rPr>
          <w:rFonts w:ascii="Arial" w:hAnsi="Arial" w:cs="Arial"/>
        </w:rPr>
        <w:t>pré</w:t>
      </w:r>
      <w:proofErr w:type="spellEnd"/>
      <w:r w:rsidRPr="00112249">
        <w:rPr>
          <w:rFonts w:ascii="Arial" w:hAnsi="Arial" w:cs="Arial"/>
        </w:rPr>
        <w:t>-cadastro permanente da Escola do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Parlamento serão informados sobre a abertura deste edital na data de sua publicação.</w:t>
      </w:r>
    </w:p>
    <w:p w14:paraId="0F845B36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3º. A possibilidade excepcional de protocolo físico do pedido de inscrição, pessoalmente ou por correspondência, será analisada pela Escola do Parlamento caso a caso, apenas mediante comprovada necessidade e consulta prévia, dentro do prazo de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inscrição regular.</w:t>
      </w:r>
    </w:p>
    <w:p w14:paraId="63ABDB11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52FFFAB5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8º Para efetuar sua inscrição neste processo de credenciamento, os interessados deverão adotar os seguintes procedimentos:</w:t>
      </w:r>
    </w:p>
    <w:p w14:paraId="4141E24C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 xml:space="preserve">I – Acessar e preencher formulário em formato digital específico disponibilizado exclusivamente no site da Escola do Parlamento em </w:t>
      </w:r>
      <w:hyperlink r:id="rId5" w:history="1">
        <w:r w:rsidRPr="000B3216">
          <w:rPr>
            <w:rStyle w:val="Hyperlink"/>
            <w:rFonts w:ascii="Arial" w:hAnsi="Arial" w:cs="Arial"/>
          </w:rPr>
          <w:t>https://www.saopaulo.sp.leg.br/escoladoparlamento/selecao-de-docentes/credenciamento-cursos-livres-extensao-pos/curso-de-extensao-politicas-publicas-de-habitacao/</w:t>
        </w:r>
      </w:hyperlink>
      <w:r w:rsidRPr="001122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79350B5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II - Anexar cópia digital, exclusivamente em formato PDF, dos seguintes documentos, nos campos apropriados:</w:t>
      </w:r>
    </w:p>
    <w:p w14:paraId="098BF418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a) Curriculum vitae e/ou link para plataforma Lattes/CNPQ;</w:t>
      </w:r>
    </w:p>
    <w:p w14:paraId="591FE302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b) Documento de identificação com foto e dentro do prazo de validade legal (Carteira de Identidade, Carteira de Habilitação,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Passaporte, Registro Nacional de Estrangeiros – RNE/Registro Nacional Migratório – RNM, ou Registro em Entidade Profissional nos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termos da legislação vigente);</w:t>
      </w:r>
    </w:p>
    <w:p w14:paraId="37549699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c) CPF (caso não conste o número no documento de identificação);</w:t>
      </w:r>
    </w:p>
    <w:p w14:paraId="43224160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d) Declaração de autenticidade dos documentos apresentados (Anexo II);</w:t>
      </w:r>
    </w:p>
    <w:p w14:paraId="1432D8E5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e) Comprovante de endereço atualizado (emitido nos últimos 90 dias);</w:t>
      </w:r>
    </w:p>
    <w:p w14:paraId="7DB77492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f) Documentos comprobatórios da pontuação pretendida, nos termos deste Edital;</w:t>
      </w:r>
    </w:p>
    <w:p w14:paraId="02000BC4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g) Relação de comprovantes de experiência profissional submetidos para análise, nos termos do Anexo III.</w:t>
      </w:r>
    </w:p>
    <w:p w14:paraId="56D00218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1º. Documentos digitalizados de maneira ilegível ou em formatos que não sejam PDF não serão aceitos pela Escola do Parlamento.</w:t>
      </w:r>
    </w:p>
    <w:p w14:paraId="04ED2CCA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2º. Caso seja identificada pelo candidato a ilegibilidade dentro do prazo regular de inscrição, ele deverá reapresentar os documentos por meio digital obedecendo esse prazo.</w:t>
      </w:r>
    </w:p>
    <w:p w14:paraId="19DBF23D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3º. Serão inabilitadas as inscrições dos candidatos que não apresentarem a documentação exigida no item II, alíneas a até e.</w:t>
      </w:r>
    </w:p>
    <w:p w14:paraId="25E8D21F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4º. A ausência de documentação adequada para comprovar experiência profissional implicará a não pontuação do candidato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nos itens em que isso ocorrer.</w:t>
      </w:r>
    </w:p>
    <w:p w14:paraId="6FD1BF6F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5CA9ECCC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9º No ato de sua inscrição, o interessado responsabilizar-se-á pela veracidade das informações prestadas e pela autenticidade dos documentos apresentados à Escola do Parlamento, nos termos da legislação vigente, não acarretando qualquer responsabilidade à Escola do Parlamento ou à Câmara Municipal de São Paulo.</w:t>
      </w:r>
    </w:p>
    <w:p w14:paraId="7DEE4877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395EEED3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10. No dia 11 de fevereiro de 2022, a lista com as inscrições habilitadas será publicada no site da Escola do Parlamento e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no Diário Oficial da Cidade de São Paulo.</w:t>
      </w:r>
    </w:p>
    <w:p w14:paraId="09FCD638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43B2D359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 xml:space="preserve">Art. 11. Caberá recurso contra eventual inabilitação de inscrição, a ser apresentado por meio de formulário eletrônico disponibilizado pela Escola do Parlamento no endereço eletrônico </w:t>
      </w:r>
      <w:hyperlink r:id="rId6" w:history="1">
        <w:r w:rsidRPr="000B3216">
          <w:rPr>
            <w:rStyle w:val="Hyperlink"/>
            <w:rFonts w:ascii="Arial" w:hAnsi="Arial" w:cs="Arial"/>
          </w:rPr>
          <w:t>https://www.saopaulo.sp.leg.br/escoladoparlamento/selecao-de-docentes/credenciamento-cursos-livres-extensao-pos/curso-de-extensao-politicas-publicas-de-habitacao/</w:t>
        </w:r>
      </w:hyperlink>
      <w:r w:rsidRPr="001122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62CF3B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1º. O prazo para envio do recurso será das 10h do dia 11 de fevereiro de 2022 até às 23h59 do dia 13 de fevereiro de 2022.</w:t>
      </w:r>
    </w:p>
    <w:p w14:paraId="6FB4D25D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2º. A Comissão de Avaliação e Credenciamento será responsável pelo julgamento dos recursos.</w:t>
      </w:r>
    </w:p>
    <w:p w14:paraId="06F72204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3º. Serão rejeitados os recursos que não estiverem devidamente fundamentados ou, ainda, aqueles intempestivos.</w:t>
      </w:r>
    </w:p>
    <w:p w14:paraId="51E09A0A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4º Caso o candidato apresente mais de um recurso, apenas o último será considerado.</w:t>
      </w:r>
    </w:p>
    <w:p w14:paraId="30826061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14B82E8D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12. No dia 15 de fevereiro de 2022, será publicado no site da Escola do Parlamento e no Diário Oficial da Cidade de São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Paulo o resultado da análise dos recursos referentes ao processo de inscrição.</w:t>
      </w:r>
    </w:p>
    <w:p w14:paraId="78DE8B5F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0C95A58A" w14:textId="77777777" w:rsidR="0077391B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66766E">
        <w:rPr>
          <w:rFonts w:ascii="Arial" w:hAnsi="Arial" w:cs="Arial"/>
          <w:b/>
          <w:bCs/>
        </w:rPr>
        <w:t>Do Processo de Avaliação dos Candidatos ao Credenciamento</w:t>
      </w:r>
    </w:p>
    <w:p w14:paraId="63FC5381" w14:textId="77777777" w:rsidR="0077391B" w:rsidRPr="0066766E" w:rsidRDefault="0077391B" w:rsidP="0077391B">
      <w:pPr>
        <w:spacing w:after="0"/>
        <w:jc w:val="both"/>
        <w:rPr>
          <w:rFonts w:ascii="Arial" w:hAnsi="Arial" w:cs="Arial"/>
          <w:b/>
          <w:bCs/>
        </w:rPr>
      </w:pPr>
    </w:p>
    <w:p w14:paraId="621C7ACA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13. Os candidatos ao credenciamento referido neste Edital serão avaliados pela Comissão de Avaliação e Credenciamento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da Escola do Parlamento, conforme disposto no art. 6º do ato 1388/2017 da Mesa Diretora da Câmara Municipal de São Paulo.</w:t>
      </w:r>
    </w:p>
    <w:p w14:paraId="799F8C0B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78CC7B14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14. Para a avaliação dos candidatos, serão obedecidos os seguintes procedimentos:</w:t>
      </w:r>
    </w:p>
    <w:p w14:paraId="579A9C7C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 – Avaliação do perfil de formação acadêmica, mediante análise de titulação a partir dos certificados e/ou diplomas comprobatórios da conclusão de mestrado e/ou doutorado apresentados;</w:t>
      </w:r>
    </w:p>
    <w:p w14:paraId="61722261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II – Avaliação de sua experiência profissional, a partir dos documentos comprobatórios;</w:t>
      </w:r>
    </w:p>
    <w:p w14:paraId="729DBB34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III – Avaliação de sua produção acadêmica na área, mediante análise de documentos comprobatórios.</w:t>
      </w:r>
    </w:p>
    <w:p w14:paraId="28239D2C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79516E62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15. A avaliação do perfil de formação acadêmica obedecerá a uma escala de pontuação de 0 a 50 pontos e adotará os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seguintes critérios:</w:t>
      </w:r>
    </w:p>
    <w:p w14:paraId="440497CB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7F4019B0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66766E">
        <w:rPr>
          <w:rFonts w:ascii="Arial" w:hAnsi="Arial" w:cs="Arial"/>
          <w:b/>
          <w:bCs/>
        </w:rPr>
        <w:t>I - Formação Superior em nível de Pós-Graduação</w:t>
      </w:r>
      <w:r w:rsidRPr="00112249">
        <w:rPr>
          <w:rFonts w:ascii="Arial" w:hAnsi="Arial" w:cs="Arial"/>
        </w:rPr>
        <w:t xml:space="preserve"> (máximo: 50 pontos)</w:t>
      </w:r>
    </w:p>
    <w:p w14:paraId="59267810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33D8D2DB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C8FC69C" wp14:editId="62C3382B">
            <wp:extent cx="6322741" cy="5650109"/>
            <wp:effectExtent l="0" t="0" r="1905" b="8255"/>
            <wp:docPr id="15" name="Imagem 1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888" cy="565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DFB9E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394AB0FE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Parágrafo único. Para a avaliação do objeto de pesquisa nos trabalhos de conclusão de curso, nas dissertações e nas teses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apresentadas, serão considerados as palavras-chave presentes na indexação do trabalho, seu resumo, a área de concentração e a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linha de pesquisa do/no Programa de Pós-Graduação.</w:t>
      </w:r>
    </w:p>
    <w:p w14:paraId="0174DCE4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7B4AB76B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16. As pontuações inclusas na tabela do artigo 15 serão atribuídas exclusivamente mediante a apresentação dos comprovantes de titulação abaixo elencados:</w:t>
      </w:r>
    </w:p>
    <w:p w14:paraId="7C6B8499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 - Certificado de conclusão de curso de especialização, emitidos por instituição legalmente credenciada de acordo com a legislação vigente, acompanhado obrigatoriamente de exemplar do trabalho de conclusão de curso em formato PDF.</w:t>
      </w:r>
    </w:p>
    <w:p w14:paraId="43CAC935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II - Diploma de mestre, emitido por instituição legalmente credenciada, em programa de pós-graduação regular junto à CAPES,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acompanhado obrigatoriamente de exemplar da dissertação completa em formato PDF.</w:t>
      </w:r>
    </w:p>
    <w:p w14:paraId="5595D82F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III - Ata de sessão pública de defesa de dissertação de mestrado, com parecer final de aprovação pela banca, acompanhada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obrigatoriamente de exemplar da dissertação completa em formato PDF.</w:t>
      </w:r>
    </w:p>
    <w:p w14:paraId="70936C6C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lastRenderedPageBreak/>
        <w:t>IV - Ata de defesa da qualificação de doutorado, com parecer final de aprovação pela banca e histórico escolar, acompanhada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obrigatoriamente de exemplar da qualificação apresentada em formato PDF.</w:t>
      </w:r>
    </w:p>
    <w:p w14:paraId="62B353E8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V - Diploma de doutor, emitido por instituição legalmente credenciada, em programa de pós-graduação regular junto à CAPES,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acompanhado obrigatoriamente de exemplar da tese completa em formato PDF.</w:t>
      </w:r>
    </w:p>
    <w:p w14:paraId="14A6E20C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VI - Ata de sessão pública de defesa da tese de doutorado, com parecer final de aprovação pela banca, acompanhada obrigatoriamente de exemplar da tese completa em formato PDF.</w:t>
      </w:r>
    </w:p>
    <w:p w14:paraId="613A9603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1F99DF03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17. A avaliação da experiência profissional deste edital obedecerá a uma escala de pontuação de 0 a 50 pontos e adotará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os seguintes critérios:</w:t>
      </w:r>
    </w:p>
    <w:p w14:paraId="6D0D3B79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2FAF7271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64EC03B" wp14:editId="463185E1">
            <wp:extent cx="6278136" cy="7611331"/>
            <wp:effectExtent l="0" t="0" r="8890" b="8890"/>
            <wp:docPr id="16" name="Imagem 1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233" cy="762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18A9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62AD13C3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18. Para comprovação de docência em programas de pós-graduação (stricto sensu) ou em cursos de especialização lato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sensu, o candidato deverá apresentar:</w:t>
      </w:r>
    </w:p>
    <w:p w14:paraId="24DC1029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 - Declaração emitida pelo Programa de Pós-Graduação, Faculdade ou pela Escola ofertante no qual constem as informações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 xml:space="preserve">sobre as disciplinas ministradas, os semestres respectivos de oferta e </w:t>
      </w:r>
      <w:r w:rsidRPr="00112249">
        <w:rPr>
          <w:rFonts w:ascii="Arial" w:hAnsi="Arial" w:cs="Arial"/>
        </w:rPr>
        <w:lastRenderedPageBreak/>
        <w:t>a carga horária das disciplinas, conforme modelo especificado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 xml:space="preserve">na Declaração PPHDP_01A disponível no endereço eletrônico </w:t>
      </w:r>
      <w:hyperlink r:id="rId9" w:history="1">
        <w:r w:rsidRPr="000B3216">
          <w:rPr>
            <w:rStyle w:val="Hyperlink"/>
            <w:rFonts w:ascii="Arial" w:hAnsi="Arial" w:cs="Arial"/>
          </w:rPr>
          <w:t>https://www.saopaulo.sp.leg.br/escoladoparlamento/selecao-de--docentes/credenciamento-cursos-livres-extensao-pos/curso-de-extensao-politicas-publicas-de-habitacao/</w:t>
        </w:r>
      </w:hyperlink>
      <w:r w:rsidRPr="001122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2964B316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II - Ementa(s) da(s) disciplina(s) oferecida(s).</w:t>
      </w:r>
    </w:p>
    <w:p w14:paraId="173723B1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1º. Para a avaliação do tema das disciplinas apresentadas para fins de pontuação da experiência profissional, será considerada a ementa da disciplina.</w:t>
      </w:r>
    </w:p>
    <w:p w14:paraId="396108D4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2º. A insuficiência de elementos comprobatórios que permitam a Comissão de Avaliação e Credenciamento estabelecer a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relação entre os referidos temas e as disciplinas apresentadas implicará a desconsideração da pontuação pleiteada.</w:t>
      </w:r>
    </w:p>
    <w:p w14:paraId="5A9C8A73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42784B06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19. Na impossibilidade de o candidato apresentar declaração emitida pelo Programa de Pós-Graduação, Faculdade ou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Escola ofertante, nos termos do caput do artigo 18, no período indicado para as inscrições, a Escola do Parlamento poderá aceitar,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excepcionalmente, declaração emitida pelo próprio candidato, conforme modelo especificado modelo especificado na Declaração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 xml:space="preserve">PPHDP_01B disponível no endereço eletrônico </w:t>
      </w:r>
      <w:hyperlink r:id="rId10" w:history="1">
        <w:r w:rsidRPr="000B3216">
          <w:rPr>
            <w:rStyle w:val="Hyperlink"/>
            <w:rFonts w:ascii="Arial" w:hAnsi="Arial" w:cs="Arial"/>
          </w:rPr>
          <w:t>https://www.saopaulo.sp.leg.br/escoladoparlamento/selecao-de-docentes/credenciamento-cursos-livres-extensao-pos/curso-de-extensao-politicas-publicas-de-habitacao/</w:t>
        </w:r>
      </w:hyperlink>
      <w:r w:rsidRPr="001122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BE2F894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 xml:space="preserve">Parágrafo único. Os </w:t>
      </w:r>
      <w:proofErr w:type="gramStart"/>
      <w:r w:rsidRPr="00112249">
        <w:rPr>
          <w:rFonts w:ascii="Arial" w:hAnsi="Arial" w:cs="Arial"/>
        </w:rPr>
        <w:t>candidatos credenciado</w:t>
      </w:r>
      <w:proofErr w:type="gramEnd"/>
      <w:r w:rsidRPr="00112249">
        <w:rPr>
          <w:rFonts w:ascii="Arial" w:hAnsi="Arial" w:cs="Arial"/>
        </w:rPr>
        <w:t xml:space="preserve"> que adotarem o procedimento estabelecido no caput deste artigo, deverão apresentar, se convocados para contratação, declaração emitida pelo Programa de Pós-Graduação, Faculdade ou Escola ofertante do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curso no formato da PPHDP_01A, confirmando as informações apresentadas no ato de inscrição.</w:t>
      </w:r>
    </w:p>
    <w:p w14:paraId="6D66FF9C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2368E634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20. Para a comprovação da experiência profissional como docente ou formador em cursos livres ofertados por instituições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de ensino ou organizações sociais, o candidato deverá apresentar:</w:t>
      </w:r>
    </w:p>
    <w:p w14:paraId="0A542D57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 - Declaração emitida pela organização responsável pela oferta do curso, no qual constem as informações sobre a situação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legal regular da organização, sobre o programa do curso oferecido, sobre o período de oferta e sobre a atuação do candidato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 xml:space="preserve">como docente/formador conforme modelo especificado na especificado na Declaração PPHDP_02, disponível no endereço eletrônico </w:t>
      </w:r>
      <w:hyperlink r:id="rId11" w:history="1">
        <w:r w:rsidRPr="000B3216">
          <w:rPr>
            <w:rStyle w:val="Hyperlink"/>
            <w:rFonts w:ascii="Arial" w:hAnsi="Arial" w:cs="Arial"/>
          </w:rPr>
          <w:t>https://www.saopaulo.sp.leg.br/escoladoparlamento/selecao-de-docentes/credenciamento-cursos-livres-extensao-pos/curso-de-extensao-politicas-publicas-de-habitacao/</w:t>
        </w:r>
      </w:hyperlink>
      <w:r>
        <w:rPr>
          <w:rFonts w:ascii="Arial" w:hAnsi="Arial" w:cs="Arial"/>
        </w:rPr>
        <w:t xml:space="preserve"> </w:t>
      </w:r>
    </w:p>
    <w:p w14:paraId="5A5C0AEA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II - Ementa do curso oferecido.</w:t>
      </w:r>
    </w:p>
    <w:p w14:paraId="181BA893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Parágrafo único. A insuficiência de elementos comprobatórios que permitam a Comissão de Avaliação e Credenciamento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estabelecer a relação entre os referidos temas e as disciplinas apresentadas implicará a desconsideração da pontuação pleiteada.</w:t>
      </w:r>
    </w:p>
    <w:p w14:paraId="781EC2A6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4F1E63CC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21. A avaliação da produção acadêmica na área específica deste edital obedecerá a uma escala de pontuação de 0 a 50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pontos e adotará os seguintes critérios:</w:t>
      </w:r>
    </w:p>
    <w:p w14:paraId="5BE76EEF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5897C142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50DDD32C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4E9D8AF" wp14:editId="4A2AAA82">
            <wp:extent cx="6300439" cy="7577555"/>
            <wp:effectExtent l="0" t="0" r="5715" b="4445"/>
            <wp:docPr id="17" name="Imagem 17" descr="Imagem em preto e branco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Imagem em preto e branco com texto preto sobre fundo branco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745" cy="75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B22C9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05727721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22. Para comprovação de artigo publicado ou aceito para publicação em revista acadêmica classificada pela CAPES, 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candidato deverá apresentar cópia digital, em formato PDF, do artigo publicado completo, onde deve constar o número de ISSN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da revista e a edição em que foi publicado o artigo, ou comprovante de aceite de publicação emitido pela revista, identificando 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número de ISSN da mesma.</w:t>
      </w:r>
    </w:p>
    <w:p w14:paraId="1350D501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1F083AB1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lastRenderedPageBreak/>
        <w:t>Art. 23. Para comprovação de autoria, coautoria ou organização de livro, o candidato deverá apresentar cópia digital, em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formato PDF, da capa do livro, da ficha catalográfica, do índice e de página do livro onde conste o Conselho Editorial da referida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Editora.</w:t>
      </w:r>
    </w:p>
    <w:p w14:paraId="19C05C0A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0397A6E8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24. Para comprovação de autoria individual ou coautoria de capítulo de livro, o candidato deverá apresentar cópia digital,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em formato PDF, da capa do livro, da ficha catalográfica, do índice e de página do livro onde conste o Conselho Editorial da referida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Editora, acompanhado do capítulo em que conste sua participação/colaboração.</w:t>
      </w:r>
    </w:p>
    <w:p w14:paraId="6BEAB964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26D72A7D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25. Os documentos comprobatórios da titulação acadêmica, da experiência profissional e da produção acadêmica do candidato deverão ser anexados no formulário eletrônico disponível para inscrição obedecendo rigorosamente às orientações técnicas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indicadas.</w:t>
      </w:r>
    </w:p>
    <w:p w14:paraId="2785CC50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52FBD6CD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26. Finalizado o processo de inscrição, o formulário emitirá uma confirmação de recebimento da inscrição, de acordo com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as informações declaradas pelo candidato, que servirá como simples referência de acompanhamento do processo seletivo.</w:t>
      </w:r>
    </w:p>
    <w:p w14:paraId="226C6A17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342EB23F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27. A pontuação final do candidato será formada pela soma da pontuação de titulação, a pontuação de experiência profissional e a pontuação da produção acadêmica na área específica.</w:t>
      </w:r>
    </w:p>
    <w:p w14:paraId="7E78F612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1º. A pontuação final mínima para credenciamento do candidato é de 45 pontos.</w:t>
      </w:r>
    </w:p>
    <w:p w14:paraId="018512EB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2º. O candidato que não obtiver a pontuação mínima para credenciamento será considerado “não-credenciado” para a atividade deste edital, sem prejuízo para sua inscrição futura em editais de contratação para outras atividades da Escola do Parlamento.</w:t>
      </w:r>
    </w:p>
    <w:p w14:paraId="693376F1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3º. O candidato que obtiver a pontuação mínima para credenciamento, definida no §1º, será considerado “credenciado” para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a atividade, e formará o rol de credenciados para a atividade deste Edital, pelo prazo de vigência definido em seu artigo 6º.</w:t>
      </w:r>
    </w:p>
    <w:p w14:paraId="7666F6E2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671A20A7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24. Ao se inscrever neste processo seletivo, o candidato assumirá a responsabilidade de apresentar toda documentação necessária à comprovação de sua formação acadêmica e de sua experiência profissional no prazo regimental das inscrições, seguindo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estritamente as orientações estabelecidas neste Edital.</w:t>
      </w:r>
    </w:p>
    <w:p w14:paraId="70639DE0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38AC9A34" w14:textId="77777777" w:rsidR="0077391B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F87EE5">
        <w:rPr>
          <w:rFonts w:ascii="Arial" w:hAnsi="Arial" w:cs="Arial"/>
          <w:b/>
          <w:bCs/>
        </w:rPr>
        <w:t>Dos resultados do Credenciamento</w:t>
      </w:r>
    </w:p>
    <w:p w14:paraId="50A4923C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b/>
          <w:bCs/>
        </w:rPr>
      </w:pPr>
    </w:p>
    <w:p w14:paraId="548ADD5D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25. O resultado preliminar do processo de credenciamento será publicado no site da Escola do Parlamento e no Diário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Oficial da Cidade de São Paulo no dia 22 de fevereiro de 2022.</w:t>
      </w:r>
    </w:p>
    <w:p w14:paraId="6E5B2341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39647916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26. Caberá recurso quanto ao resultado preliminar da segunda etapa do processo seletivo, a ser apresentado por meio de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 xml:space="preserve">formulário eletrônico disponibilizado pela Escola do Parlamento no endereço eletrônico </w:t>
      </w:r>
      <w:hyperlink r:id="rId13" w:history="1">
        <w:r w:rsidRPr="000B3216">
          <w:rPr>
            <w:rStyle w:val="Hyperlink"/>
            <w:rFonts w:ascii="Arial" w:hAnsi="Arial" w:cs="Arial"/>
          </w:rPr>
          <w:t>https://www.saopaulo.sp.leg.br/escoladoparlamento/selecao-de-docentes/credenciamento-cursos-livres-extensao-pos/curso-de-extensao-politicas-publicas-de-habitacao/</w:t>
        </w:r>
      </w:hyperlink>
      <w:r>
        <w:rPr>
          <w:rFonts w:ascii="Arial" w:hAnsi="Arial" w:cs="Arial"/>
        </w:rPr>
        <w:t xml:space="preserve"> </w:t>
      </w:r>
    </w:p>
    <w:p w14:paraId="5E862039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1º. O prazo para envio do recurso será das 10h do dia 22 de fevereiro de 2021 até às 23h59min do dia 23 de fevereiro de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2022.</w:t>
      </w:r>
    </w:p>
    <w:p w14:paraId="5A8F25BD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2º. A Comissão de Avaliação e Credenciamento será responsável pelo julgamento dos recursos.</w:t>
      </w:r>
    </w:p>
    <w:p w14:paraId="40A7A73D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3º. Serão rejeitados os recursos que não estiverem devidamente fundamentados ou, ainda, aqueles intempestivos.</w:t>
      </w:r>
    </w:p>
    <w:p w14:paraId="7AC7B85B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4º. Admitir-se-á um único recurso para cada candidato.</w:t>
      </w:r>
    </w:p>
    <w:p w14:paraId="5AF87C29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09C0098A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 xml:space="preserve">Art. 27. O </w:t>
      </w:r>
      <w:proofErr w:type="gramStart"/>
      <w:r w:rsidRPr="00112249">
        <w:rPr>
          <w:rFonts w:ascii="Arial" w:hAnsi="Arial" w:cs="Arial"/>
        </w:rPr>
        <w:t>resultado final</w:t>
      </w:r>
      <w:proofErr w:type="gramEnd"/>
      <w:r w:rsidRPr="00112249">
        <w:rPr>
          <w:rFonts w:ascii="Arial" w:hAnsi="Arial" w:cs="Arial"/>
        </w:rPr>
        <w:t>, após apreciação de recursos, será publicado no dia 26 de fevereiro de 2021, no site da Escola do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Parlamento da Câmara Municipal de São Paulo e no Diário Oficial da Cidade de São Paulo.</w:t>
      </w:r>
    </w:p>
    <w:p w14:paraId="273AA20A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0F67283C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28. Para efeitos de classificação, quando os candidatos alcançarem a mesma nota final no processo de credenciamento, os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critérios de desempate serão os seguintes:</w:t>
      </w:r>
    </w:p>
    <w:p w14:paraId="037F4E08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 – Maior pontuação na avaliação de perfil acadêmico</w:t>
      </w:r>
    </w:p>
    <w:p w14:paraId="45E14047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II – Maior pontuação na avaliação de experiência profissional específica</w:t>
      </w:r>
    </w:p>
    <w:p w14:paraId="6D6BC68C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III – Maior idade, considerando dia, mês e ano de nascimento</w:t>
      </w:r>
    </w:p>
    <w:p w14:paraId="5AACD222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IV – Sorteio público</w:t>
      </w:r>
    </w:p>
    <w:p w14:paraId="33064422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1270A7C4" w14:textId="77777777" w:rsidR="0077391B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F87EE5">
        <w:rPr>
          <w:rFonts w:ascii="Arial" w:hAnsi="Arial" w:cs="Arial"/>
          <w:b/>
          <w:bCs/>
        </w:rPr>
        <w:t>Da convocação para contratação e prestação de serviços como facilitador de aprendizagem e conteudista</w:t>
      </w:r>
    </w:p>
    <w:p w14:paraId="06E0D4C3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b/>
          <w:bCs/>
        </w:rPr>
      </w:pPr>
    </w:p>
    <w:p w14:paraId="7A4EE60C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29. Os candidatos credenciados serão notificados por correio eletrônico acerca da convocação para eventual contratação,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respeitada a classificação obtida no processo de credenciamento.</w:t>
      </w:r>
    </w:p>
    <w:p w14:paraId="3FDC56D1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 xml:space="preserve">§ 1º. Considerando o </w:t>
      </w:r>
      <w:proofErr w:type="gramStart"/>
      <w:r w:rsidRPr="00112249">
        <w:rPr>
          <w:rFonts w:ascii="Arial" w:hAnsi="Arial" w:cs="Arial"/>
        </w:rPr>
        <w:t>resultado final</w:t>
      </w:r>
      <w:proofErr w:type="gramEnd"/>
      <w:r w:rsidRPr="00112249">
        <w:rPr>
          <w:rFonts w:ascii="Arial" w:hAnsi="Arial" w:cs="Arial"/>
        </w:rPr>
        <w:t xml:space="preserve"> do processo de credenciamento e a classificação alcançada pelos candidatos inscritos e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credenciados, a Escola do Parlamento convocará para a contratação o candidato mais bem classificado.</w:t>
      </w:r>
    </w:p>
    <w:p w14:paraId="02FB5E88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2º. O candidato deverá manifestar, por e-mail, seu interesse na contratação referida no caput, em até 48h a partir do horário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de recebimento da mensagem.</w:t>
      </w:r>
    </w:p>
    <w:p w14:paraId="00662947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3º. O candidato credenciado que, ao ser convocado, não puder cumprir com as atividades previstas neste edital na data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especificada, deverá comunicar sua indisponibilidade à Escola do Parlamento em até 2 (dois) dias úteis. Neste caso, a Escola do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Parlamento procederá à contratação do próximo credenciado, por ordem de classificação, e o candidato indisponível permanecerá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credenciado na mesma posição na lista de classificação, podendo ser contratado após a rolagem de toda a lista de credenciados em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atendimento ao disposto o art. 3º, § 4º do Ato nº 1.388/17.</w:t>
      </w:r>
    </w:p>
    <w:p w14:paraId="6A4A402A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3D8C8503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30. Tendo sido selecionado e convocado para a prestação de serviços de facilitador de aprendizagem e de conteudista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junto à Escola do Parlamento, o docente deverá submeter proposta de trabalho, conforme os termos do Anexo I deste Edital e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comprovação de adimplência junto à Fazenda Pública Municipal de São Paulo, bem como atender às orientações, prazos e determinações exaradas pela Escola do Parlamento.</w:t>
      </w:r>
    </w:p>
    <w:p w14:paraId="52D7940A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1º. O prazo para a apresentação dos documentos referidos será de 5 (cinco) dias úteis a contar da convocação para contratação e prestação do serviço.</w:t>
      </w:r>
    </w:p>
    <w:p w14:paraId="33571634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§ 2º A possibilidade excepcional de prorrogação será analisada caso a caso pela Escola do Parlamento, mediante comprovada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necessidade e consulta prévia.</w:t>
      </w:r>
    </w:p>
    <w:p w14:paraId="2EFBA92D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0795E67D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31. Caso o candidato não cumpra os prazos estabelecidos neste edital, será descredenciado e removido da lista de classificação, não podendo ser convocado na vigência deste Edital.</w:t>
      </w:r>
    </w:p>
    <w:p w14:paraId="1CB7F34C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57FD72B0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32. Todo o processo de contratação será regido pela legislação vigente e assumirá os procedimentos e critérios previstos</w:t>
      </w:r>
      <w:r>
        <w:rPr>
          <w:rFonts w:ascii="Arial" w:hAnsi="Arial" w:cs="Arial"/>
        </w:rPr>
        <w:t xml:space="preserve"> </w:t>
      </w:r>
      <w:r w:rsidRPr="00112249">
        <w:rPr>
          <w:rFonts w:ascii="Arial" w:hAnsi="Arial" w:cs="Arial"/>
        </w:rPr>
        <w:t>no Ato nº 1.388/2017.</w:t>
      </w:r>
    </w:p>
    <w:p w14:paraId="3125C01A" w14:textId="77777777" w:rsidR="0077391B" w:rsidRPr="00112249" w:rsidRDefault="0077391B" w:rsidP="0077391B">
      <w:pPr>
        <w:spacing w:after="0"/>
        <w:jc w:val="both"/>
        <w:rPr>
          <w:rFonts w:ascii="Arial" w:hAnsi="Arial" w:cs="Arial"/>
        </w:rPr>
      </w:pPr>
    </w:p>
    <w:p w14:paraId="10476A15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112249">
        <w:rPr>
          <w:rFonts w:ascii="Arial" w:hAnsi="Arial" w:cs="Arial"/>
        </w:rPr>
        <w:t>Art. 33. Para referência do candidato, os valores de hora-aula para remuneração dos facilitadores de aprendizagem e conteudistas do curso “Políticas públicas de habitação: desafios e perspectivas do direito à moradia e do direito à Cidade” são os seguintes:</w:t>
      </w:r>
    </w:p>
    <w:p w14:paraId="1EBD69CB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63905321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32D216A5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1DC1DA8" wp14:editId="546AAD77">
            <wp:extent cx="5776331" cy="1317409"/>
            <wp:effectExtent l="0" t="0" r="0" b="0"/>
            <wp:docPr id="18" name="Imagem 1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Tabela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559" cy="132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82DF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74987110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Art. 34. Os profissionais contratados nos termos deste edital autorizam desde já e sem qualquer tipo de restrição ou expectativa de contraprestação financeira de qualquer tipo, a utilização dos conteúdos produzidos, em sua totalidade ou em parte, bem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como o direito de imagem, para a veiculação nos canais institucionais da Escola do Parlamento e da Câmara Municipal de São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Paulo.</w:t>
      </w:r>
    </w:p>
    <w:p w14:paraId="17365AAA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1B40FC4F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Art. 35. No ato da contratação, a Escola do Parlamento formalizará, nos termos da legislação, a declaração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de cessão de direitos autorais e de imagem e a declaração de autorização, todos de adesão obrigatória, para a utilização parcial e/ou integral dos conteúdos por parte da Escola do Parlamento.</w:t>
      </w:r>
    </w:p>
    <w:p w14:paraId="271C204B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</w:p>
    <w:p w14:paraId="7D0F9C8F" w14:textId="77777777" w:rsidR="0077391B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F87EE5">
        <w:rPr>
          <w:rFonts w:ascii="Arial" w:hAnsi="Arial" w:cs="Arial"/>
          <w:b/>
          <w:bCs/>
        </w:rPr>
        <w:t>Das Disposições Gerais</w:t>
      </w:r>
    </w:p>
    <w:p w14:paraId="5AF60672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b/>
          <w:bCs/>
        </w:rPr>
      </w:pPr>
    </w:p>
    <w:p w14:paraId="2B621DDB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Art. 36. Ao completar sua inscrição neste processo de credenciamento, o candidato expressa conhecimento, concordância e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adesão ao conteúdo deste Edital.</w:t>
      </w:r>
    </w:p>
    <w:p w14:paraId="6E20173F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</w:p>
    <w:p w14:paraId="6028D108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Art. 38. Caberá à Escola do Parlamento definir se a prestação do serviço de facilitador de aprendizagem dar-se-á em regime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presencial ou em regime remoto, utilizando a plataforma de interação disponibilizada pela Escola do Parlamento.</w:t>
      </w:r>
    </w:p>
    <w:p w14:paraId="18E81792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1º Caso as aulas ocorram presencialmente, serão ministradas nas instalações da Câmara Municipal de São Paulo, situada no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Palácio Anchieta, Viaduto Jacareí, 100, Bela Vista, São Paulo – SP, CEP: 01319-900 ou em outro local, indicado previamente pela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Escola do Parlamento, localizado na cidade de São Paulo.</w:t>
      </w:r>
    </w:p>
    <w:p w14:paraId="1ADCF297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2º. Caso as aulas ocorram em regime remoto, o docente deverá comprovar que dispõe, às suas expensas, da seguinte infraestrutura tecnológica: microcomputador, microfone, webcam e conexão de internet em banda larga durante toda a duração do curso,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de maneira a não prejudicar a dinâmica das aulas.</w:t>
      </w:r>
    </w:p>
    <w:p w14:paraId="29534753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3º. A comprovação dessas condições se dará por meio de aulas-teste a serem agendadas pela Coordenação do Curso com 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contratado, informadas com antecedência de uma semana, para que providências sejam tomadas, caso necessário.</w:t>
      </w:r>
    </w:p>
    <w:p w14:paraId="7AE40507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4º. Restando demonstrado nas aulas-teste a insuficiência da infraestrutura tecnológica necessária, a Escola do Parlamento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estabelecerá prazo de 5 (cinco) dias úteis para que o contratado promova as adequações necessárias.</w:t>
      </w:r>
    </w:p>
    <w:p w14:paraId="18A1E17F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5º. A não adequação implicará o cancelamento da contratação.</w:t>
      </w:r>
    </w:p>
    <w:p w14:paraId="155473AC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</w:p>
    <w:p w14:paraId="63E6393E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Art. 38. Os casos omissos serão avaliados pela Comissão de Avaliação e Credenciamento da Escola do Parlamento.</w:t>
      </w:r>
    </w:p>
    <w:p w14:paraId="122EDC5D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</w:p>
    <w:p w14:paraId="2AC89149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Art. 39. O cronograma do processo de credenciamento obedecerá às seguintes etapas e datas:</w:t>
      </w:r>
      <w:r w:rsidRPr="00E552DE">
        <w:rPr>
          <w:rFonts w:ascii="Arial" w:hAnsi="Arial" w:cs="Arial"/>
        </w:rPr>
        <w:cr/>
      </w:r>
    </w:p>
    <w:p w14:paraId="6B7A6B84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B8D9C9A" wp14:editId="22BD88C7">
            <wp:extent cx="6233531" cy="4159706"/>
            <wp:effectExtent l="0" t="0" r="0" b="0"/>
            <wp:docPr id="19" name="Imagem 1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Tabela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075" cy="416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AA87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6D49D562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7EE5">
        <w:rPr>
          <w:rFonts w:ascii="Arial" w:hAnsi="Arial" w:cs="Arial"/>
          <w:sz w:val="18"/>
          <w:szCs w:val="18"/>
        </w:rPr>
        <w:t>São Paulo, 14 de janeiro de 2022.</w:t>
      </w:r>
    </w:p>
    <w:p w14:paraId="448BF05C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7EE5">
        <w:rPr>
          <w:rFonts w:ascii="Arial" w:hAnsi="Arial" w:cs="Arial"/>
          <w:sz w:val="18"/>
          <w:szCs w:val="18"/>
        </w:rPr>
        <w:t>Alexsandro do Nascimento Santos</w:t>
      </w:r>
    </w:p>
    <w:p w14:paraId="4790D8A8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7EE5">
        <w:rPr>
          <w:rFonts w:ascii="Arial" w:hAnsi="Arial" w:cs="Arial"/>
          <w:sz w:val="18"/>
          <w:szCs w:val="18"/>
        </w:rPr>
        <w:t>Diretor-Presidente da Escola do Parlamento</w:t>
      </w:r>
    </w:p>
    <w:p w14:paraId="1AD479B4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</w:p>
    <w:p w14:paraId="644DAB9B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F87EE5">
        <w:rPr>
          <w:rFonts w:ascii="Arial" w:hAnsi="Arial" w:cs="Arial"/>
          <w:b/>
          <w:bCs/>
        </w:rPr>
        <w:t>ANEXO I</w:t>
      </w:r>
    </w:p>
    <w:p w14:paraId="12BD4283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</w:p>
    <w:p w14:paraId="01AD4FF8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F87EE5">
        <w:rPr>
          <w:rFonts w:ascii="Arial" w:hAnsi="Arial" w:cs="Arial"/>
          <w:b/>
          <w:bCs/>
        </w:rPr>
        <w:t>Especificações Técnicas - Atividade EP 02/2021</w:t>
      </w:r>
    </w:p>
    <w:p w14:paraId="70E18F4B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</w:p>
    <w:p w14:paraId="184324EA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F87EE5">
        <w:rPr>
          <w:rFonts w:ascii="Arial" w:hAnsi="Arial" w:cs="Arial"/>
          <w:b/>
          <w:bCs/>
        </w:rPr>
        <w:t>Ementa</w:t>
      </w:r>
    </w:p>
    <w:p w14:paraId="62EBE85E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O curso de extensão universitária Política Públicas de Habitação: Desafios e Perspectivas do Direito à Moradia e do Direto à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Cidade destina-se a servidores públicos, estudantes, profissionais e pesquisadores envolvidos ou interessados em desenvolver e refletir sobre os temas do direito urbanístico, das políticas públicas de regulação urbanística e política urbana, da promoção, proteção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e da defesa do direito humano à habitação e à moradia, da análise das relações entre direito à cidade, território, desigualdades e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vulnerabilidades. Tem por objetivo geral fomentar o debate sobre os direitos humanos no campo da habitação e da reflexão sobre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cidade e espaço urbano, bem como ampliar o grau de letramento político dos cidadãos a respeito da desigualdade socioespacial no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 xml:space="preserve">espaço urbano, e sobre os desafios postos ao poder público na mitigação e combate </w:t>
      </w:r>
      <w:proofErr w:type="gramStart"/>
      <w:r w:rsidRPr="00E552DE">
        <w:rPr>
          <w:rFonts w:ascii="Arial" w:hAnsi="Arial" w:cs="Arial"/>
        </w:rPr>
        <w:t>às vulnerabilidade</w:t>
      </w:r>
      <w:proofErr w:type="gramEnd"/>
      <w:r w:rsidRPr="00E552DE">
        <w:rPr>
          <w:rFonts w:ascii="Arial" w:hAnsi="Arial" w:cs="Arial"/>
        </w:rPr>
        <w:t xml:space="preserve"> dessa natureza.</w:t>
      </w:r>
    </w:p>
    <w:p w14:paraId="0F3E434E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F87EE5">
        <w:rPr>
          <w:rFonts w:ascii="Arial" w:hAnsi="Arial" w:cs="Arial"/>
          <w:b/>
          <w:bCs/>
        </w:rPr>
        <w:t>Justificativa</w:t>
      </w:r>
    </w:p>
    <w:p w14:paraId="62A8C30D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O fenômeno da urbanização no contexto brasileiro é marcado por um conjunto de legados de políticas, normas e arranjos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econômicos e socioespaciais que relegaram à jovem democracia um cenário marcado pela desigualdade não apenas no acesso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à moradia, mas sobretudo às possibilidades que a cidade, enquanto fenômeno social, oferece a seus habitantes. Nesse cenário, a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 xml:space="preserve">própria política habitacional, frequentemente, ao se constituir como solução aparente, produziu ela mesma um novo </w:t>
      </w:r>
      <w:r w:rsidRPr="00E552DE">
        <w:rPr>
          <w:rFonts w:ascii="Arial" w:hAnsi="Arial" w:cs="Arial"/>
        </w:rPr>
        <w:lastRenderedPageBreak/>
        <w:t>conjunto de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desafios para se pensar o problema urbano. O conjunto de regras, por vezes desarticuladas ou inexistentes, sobre as formas de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ocupar o espaço urbano produziram cidades marcadas por lógicas incipientes de mercado e segregação deliberada.</w:t>
      </w:r>
    </w:p>
    <w:p w14:paraId="7F4FC101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Desde nossa recente democratização, a ampliação do espaço de debate e construção coletiva de políticas públicas e a articulação de movimentos sociais em defesa dos direitos sociais em suas diversas naturezas, tais como o direito à habitação e o direito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à cidade, tem se mostrado fatores cruciais não apenas para a construção de conhecimento sobre o problema, mas também para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a construção de soluções coletivas que promovam lógicas distintas para ocupação do espaço urbano, para promoção ao direito à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cidade.</w:t>
      </w:r>
    </w:p>
    <w:p w14:paraId="31AC4A29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A reflexão coletiva e o diálogo entre movimentos sociais, academia, e público leigo em geral é elemento importantíssimo na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ampliação do letramento político e sobre os direitos dos cidadãos, o que motiva essa iniciativa da Escola do Parlamento, em conjunto com pesquisador e/ou profissional experiente nesse campo.</w:t>
      </w:r>
    </w:p>
    <w:p w14:paraId="39A5D80B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F87EE5">
        <w:rPr>
          <w:rFonts w:ascii="Arial" w:hAnsi="Arial" w:cs="Arial"/>
          <w:b/>
          <w:bCs/>
        </w:rPr>
        <w:t>Características da oferta do curso</w:t>
      </w:r>
    </w:p>
    <w:p w14:paraId="2A5DECF9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* Profissional necessário para a oferta do curso: 01 (um) facilitador de aprendizagem, responsável por conduzir todas as atividades formativas.</w:t>
      </w:r>
    </w:p>
    <w:p w14:paraId="7058D12A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* Duração: 20h, distribuídas em 07 encontros semanais vespertinos e/ou noturnos de 2h cada um, totalizando 14h de aulas e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6h para atividades complementares.</w:t>
      </w:r>
    </w:p>
    <w:p w14:paraId="1A5D27C1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* Modalidade: presencial ou aprendizagem remota com plataforma de mediação à distância</w:t>
      </w:r>
    </w:p>
    <w:p w14:paraId="02CAD562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F87EE5">
        <w:rPr>
          <w:rFonts w:ascii="Arial" w:hAnsi="Arial" w:cs="Arial"/>
          <w:b/>
          <w:bCs/>
        </w:rPr>
        <w:t>Conteúdos obrigatórios:</w:t>
      </w:r>
    </w:p>
    <w:p w14:paraId="3A68C1E8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1. Direitos Humanos, Direito Humano à Moradia e Direito Humano à Cidade;</w:t>
      </w:r>
    </w:p>
    <w:p w14:paraId="5FE3A8B0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2. A construção coletiva da cidade e o Planejamento Urbano;</w:t>
      </w:r>
    </w:p>
    <w:p w14:paraId="3BCB5CC0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3. Desafios das políticas públicas de Habitação nas Cidades;</w:t>
      </w:r>
    </w:p>
    <w:p w14:paraId="03B21269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4. Instrumentos da Regulação Urbana e Cidades Contemporâneas;</w:t>
      </w:r>
    </w:p>
    <w:p w14:paraId="617905C2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5. Desigualdades, Vulnerabilidades e Território das Cidades.</w:t>
      </w:r>
    </w:p>
    <w:p w14:paraId="7ADEC57B" w14:textId="77777777" w:rsidR="0077391B" w:rsidRPr="00F87EE5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F87EE5">
        <w:rPr>
          <w:rFonts w:ascii="Arial" w:hAnsi="Arial" w:cs="Arial"/>
          <w:b/>
          <w:bCs/>
        </w:rPr>
        <w:t>Metodologia:</w:t>
      </w:r>
    </w:p>
    <w:p w14:paraId="4F4AF000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Aulas expositivas, exposição dialogada, leituras orientadas, exercícios de reflexão teórica e estudos de caso, apresentação e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análise de vídeos, documentos, textos legais ou mobilização de outros materiais didáticos, a critério do facilitador de aprendizagem.</w:t>
      </w:r>
    </w:p>
    <w:p w14:paraId="08E614A2" w14:textId="77777777" w:rsidR="0077391B" w:rsidRPr="00D366A3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D366A3">
        <w:rPr>
          <w:rFonts w:ascii="Arial" w:hAnsi="Arial" w:cs="Arial"/>
          <w:b/>
          <w:bCs/>
        </w:rPr>
        <w:t>Recursos físicos e didáticos:</w:t>
      </w:r>
    </w:p>
    <w:p w14:paraId="7DB23C27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 xml:space="preserve">Caso a atividade ocorra em formato remoto, será disponibilizada plataforma virtual de mediação, com serviço gratuito de </w:t>
      </w:r>
      <w:proofErr w:type="spellStart"/>
      <w:r w:rsidRPr="00E552DE">
        <w:rPr>
          <w:rFonts w:ascii="Arial" w:hAnsi="Arial" w:cs="Arial"/>
        </w:rPr>
        <w:t>stream</w:t>
      </w:r>
      <w:proofErr w:type="spellEnd"/>
      <w:r w:rsidRPr="00E552DE">
        <w:rPr>
          <w:rFonts w:ascii="Arial" w:hAnsi="Arial" w:cs="Arial"/>
        </w:rPr>
        <w:t xml:space="preserve"> e transmissão automática nas redes sociais da Escola do Parlamento. Caso ocorra em formato presencial, será disponibilizado,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na sala em que a atividade ocorrer, computador e equipamentos audiovisuais para projeção em tela.</w:t>
      </w:r>
    </w:p>
    <w:p w14:paraId="39BA91F0" w14:textId="77777777" w:rsidR="0077391B" w:rsidRPr="00D366A3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proofErr w:type="gramStart"/>
      <w:r w:rsidRPr="00D366A3">
        <w:rPr>
          <w:rFonts w:ascii="Arial" w:hAnsi="Arial" w:cs="Arial"/>
          <w:b/>
          <w:bCs/>
        </w:rPr>
        <w:t>Público alvo</w:t>
      </w:r>
      <w:proofErr w:type="gramEnd"/>
      <w:r w:rsidRPr="00D366A3">
        <w:rPr>
          <w:rFonts w:ascii="Arial" w:hAnsi="Arial" w:cs="Arial"/>
          <w:b/>
          <w:bCs/>
        </w:rPr>
        <w:t>:</w:t>
      </w:r>
    </w:p>
    <w:p w14:paraId="457D8213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Servidores públicos, estudantes, profissionais e pesquisadores envolvidos ou interessados em estudar e/ou desenvolver ações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de formação, pesquisa e ativismo no campo das políticas habitacionais, dos estudos urbanos, no estudo sobre e promoção do direito humano à moradia e do direito à cidade.</w:t>
      </w:r>
    </w:p>
    <w:p w14:paraId="7AF3DD3A" w14:textId="77777777" w:rsidR="0077391B" w:rsidRPr="00D366A3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D366A3">
        <w:rPr>
          <w:rFonts w:ascii="Arial" w:hAnsi="Arial" w:cs="Arial"/>
          <w:b/>
          <w:bCs/>
        </w:rPr>
        <w:t>Perfil docente desejado:</w:t>
      </w:r>
    </w:p>
    <w:p w14:paraId="787B0176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Profissional com formação nas áreas das Ciências Humanas ou em áreas correlatas, com trajetória de estudo, pesquisa e realização de ações educativas no campo das políticas habitacionais, política urbana, direito urbanístico, direito à habitação e direito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à cidade.</w:t>
      </w:r>
    </w:p>
    <w:p w14:paraId="21F414C3" w14:textId="77777777" w:rsidR="0077391B" w:rsidRPr="00D366A3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D366A3">
        <w:rPr>
          <w:rFonts w:ascii="Arial" w:hAnsi="Arial" w:cs="Arial"/>
          <w:b/>
          <w:bCs/>
        </w:rPr>
        <w:t>Calendário previsto para a oferta:</w:t>
      </w:r>
    </w:p>
    <w:p w14:paraId="2BCD5149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A oferta da primeira edição curso de extensão universitária “Política Públicas de Habitação: Desafios e Perspectivas do Direito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à Moradia e do Direto à Cidade” está prevista para iniciar na terceira semana de março de 2022</w:t>
      </w:r>
    </w:p>
    <w:p w14:paraId="7EB42C31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Após a conclusão desta primeira oferta e a critério da Escola do Parlamento, a atividade poderá ser ofertada outras vezes,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 xml:space="preserve">considerando o prazo de dois anos a partir da publicação do </w:t>
      </w:r>
      <w:proofErr w:type="gramStart"/>
      <w:r w:rsidRPr="00E552DE">
        <w:rPr>
          <w:rFonts w:ascii="Arial" w:hAnsi="Arial" w:cs="Arial"/>
        </w:rPr>
        <w:t>resultado final</w:t>
      </w:r>
      <w:proofErr w:type="gramEnd"/>
      <w:r w:rsidRPr="00E552DE">
        <w:rPr>
          <w:rFonts w:ascii="Arial" w:hAnsi="Arial" w:cs="Arial"/>
        </w:rPr>
        <w:t xml:space="preserve"> deste processo de credenciamento.</w:t>
      </w:r>
    </w:p>
    <w:p w14:paraId="6110495D" w14:textId="77777777" w:rsidR="0077391B" w:rsidRPr="00D366A3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D366A3">
        <w:rPr>
          <w:rFonts w:ascii="Arial" w:hAnsi="Arial" w:cs="Arial"/>
          <w:b/>
          <w:bCs/>
        </w:rPr>
        <w:t>Atividades Complementares</w:t>
      </w:r>
    </w:p>
    <w:p w14:paraId="48DB4E79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lastRenderedPageBreak/>
        <w:t xml:space="preserve">1) </w:t>
      </w:r>
      <w:r w:rsidRPr="00D366A3">
        <w:rPr>
          <w:rFonts w:ascii="Arial" w:hAnsi="Arial" w:cs="Arial"/>
          <w:b/>
          <w:bCs/>
          <w:i/>
          <w:iCs/>
        </w:rPr>
        <w:t>Avaliação:</w:t>
      </w:r>
      <w:r w:rsidRPr="00E552DE">
        <w:rPr>
          <w:rFonts w:ascii="Arial" w:hAnsi="Arial" w:cs="Arial"/>
        </w:rPr>
        <w:t xml:space="preserve"> elaborar atividade de avaliação a ser aplicada aos cursistas para certificação, contendo 10 (dez) questões de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múltipla escolha (de quatro a cinco alternativas) sobre os temas abordados OU elaborar atividade dissertativa ou trabalho a ser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desenvolvido pelos alunos em conjunto, entregando relatório final de avaliação dos alunos à Coordenação;</w:t>
      </w:r>
    </w:p>
    <w:p w14:paraId="205E620F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 xml:space="preserve">2) </w:t>
      </w:r>
      <w:r w:rsidRPr="00D366A3">
        <w:rPr>
          <w:rFonts w:ascii="Arial" w:hAnsi="Arial" w:cs="Arial"/>
          <w:b/>
          <w:bCs/>
          <w:i/>
          <w:iCs/>
        </w:rPr>
        <w:t>Artigo Científico:</w:t>
      </w:r>
      <w:r w:rsidRPr="00E552DE">
        <w:rPr>
          <w:rFonts w:ascii="Arial" w:hAnsi="Arial" w:cs="Arial"/>
        </w:rPr>
        <w:t xml:space="preserve"> elaborar artigo científico inédito para publicação sobre um dos temas abordados no curso, ou correlacionando os temas tratados ao longo do curso. O artigo não pode estar sendo avaliado simultaneamente em nenhum outro periódico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ou órgãos editoriais, mas pode ser desdobramento de trabalhos anteriores publicados em outros formatos, desde que haja acréscimo, ampliação ou rediscussão dos temas e das discussões, configurando, no mínimo 50% do texto submetido;</w:t>
      </w:r>
    </w:p>
    <w:p w14:paraId="5FE494B7" w14:textId="77777777" w:rsidR="0077391B" w:rsidRPr="00D366A3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D366A3">
        <w:rPr>
          <w:rFonts w:ascii="Arial" w:hAnsi="Arial" w:cs="Arial"/>
          <w:b/>
          <w:bCs/>
        </w:rPr>
        <w:t>Padronização:</w:t>
      </w:r>
    </w:p>
    <w:p w14:paraId="5F2A2451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a) o tamanho do artigo pode variar entre 12 e 18 páginas, incluindo resumo, títulos e palavras-chaves, ilustrações (quadros,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tabelas, gráficos e outros), referências bibliográficas e notas de rodapé;</w:t>
      </w:r>
    </w:p>
    <w:p w14:paraId="6EC03095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b) o resumo (em português) deve conter no máximo 15 linhas e anunciar a temática, o objetivo, o método e os resultados e/ou conclusões;</w:t>
      </w:r>
    </w:p>
    <w:p w14:paraId="5E14B951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c) o texto deve estar em obediência às normas da ABNT (NBR 10520, 2002).</w:t>
      </w:r>
    </w:p>
    <w:p w14:paraId="5C16358F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 xml:space="preserve">3) </w:t>
      </w:r>
      <w:r w:rsidRPr="00D366A3">
        <w:rPr>
          <w:rFonts w:ascii="Arial" w:hAnsi="Arial" w:cs="Arial"/>
          <w:b/>
          <w:bCs/>
          <w:i/>
          <w:iCs/>
        </w:rPr>
        <w:t>Produção de vídeos:</w:t>
      </w:r>
      <w:r w:rsidRPr="00E552DE">
        <w:rPr>
          <w:rFonts w:ascii="Arial" w:hAnsi="Arial" w:cs="Arial"/>
        </w:rPr>
        <w:t xml:space="preserve"> elaborar 2 (dois) vídeos com duração de até 5 (cinco) minutos, sendo um com o propósito de divulgação</w:t>
      </w:r>
      <w:r>
        <w:rPr>
          <w:rFonts w:ascii="Arial" w:hAnsi="Arial" w:cs="Arial"/>
        </w:rPr>
        <w:t xml:space="preserve"> </w:t>
      </w:r>
      <w:r w:rsidRPr="00E552DE">
        <w:rPr>
          <w:rFonts w:ascii="Arial" w:hAnsi="Arial" w:cs="Arial"/>
        </w:rPr>
        <w:t>e outro com objetivo de incentivar os participantes a aprofundarem o conhecimento do tema após o término das aulas.</w:t>
      </w:r>
    </w:p>
    <w:p w14:paraId="5B11A6AF" w14:textId="77777777" w:rsidR="0077391B" w:rsidRPr="00D366A3" w:rsidRDefault="0077391B" w:rsidP="0077391B">
      <w:pPr>
        <w:spacing w:after="0"/>
        <w:jc w:val="both"/>
        <w:rPr>
          <w:rFonts w:ascii="Arial" w:hAnsi="Arial" w:cs="Arial"/>
          <w:b/>
          <w:bCs/>
        </w:rPr>
      </w:pPr>
      <w:r w:rsidRPr="00D366A3">
        <w:rPr>
          <w:rFonts w:ascii="Arial" w:hAnsi="Arial" w:cs="Arial"/>
          <w:b/>
          <w:bCs/>
        </w:rPr>
        <w:t>Padronização:</w:t>
      </w:r>
    </w:p>
    <w:p w14:paraId="4F346B74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a) o contratado poderá utilizar câmera de aparelhos celulares ou câmeras de vídeo dedicadas para produção do material;</w:t>
      </w:r>
    </w:p>
    <w:p w14:paraId="290B1FDA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b) o vídeo deverá ser gravado com uma resolução mínima de 720p;</w:t>
      </w:r>
    </w:p>
    <w:p w14:paraId="2AD1B873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c) o áudio deverá estar sem ruídos que comprometam a qualidade do som e com a voz perfeitamente compreensível;</w:t>
      </w:r>
    </w:p>
    <w:p w14:paraId="4A9DEDD7" w14:textId="77777777" w:rsidR="0077391B" w:rsidRPr="00E552DE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d) a gravação, caso utilize aparelho celular, deve ser feita com a câmera na horizontal;</w:t>
      </w:r>
    </w:p>
    <w:p w14:paraId="27BA37AF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 w:rsidRPr="00E552DE">
        <w:rPr>
          <w:rFonts w:ascii="Arial" w:hAnsi="Arial" w:cs="Arial"/>
        </w:rPr>
        <w:t>e) o contratado deverá encaminhar o texto transcrito de sua fala, a ser utilizado para inserção de legendas na divulgação;</w:t>
      </w:r>
    </w:p>
    <w:p w14:paraId="2DF7019A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7805404B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C35030C" wp14:editId="78C2CB82">
            <wp:extent cx="6244683" cy="5691834"/>
            <wp:effectExtent l="0" t="0" r="3810" b="4445"/>
            <wp:docPr id="20" name="Imagem 20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 descr="Uma imagem contendo Texto&#10;&#10;Descrição gerada automa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583" cy="56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064CB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64A7C125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406267F" wp14:editId="5AFFC21B">
            <wp:extent cx="6211229" cy="7375069"/>
            <wp:effectExtent l="0" t="0" r="0" b="0"/>
            <wp:docPr id="21" name="Imagem 2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 descr="Tabela&#10;&#10;Descrição gerada automa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283" cy="737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99CF5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0FF727CB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0C67C33" wp14:editId="799763B3">
            <wp:extent cx="6244683" cy="7493620"/>
            <wp:effectExtent l="0" t="0" r="3810" b="0"/>
            <wp:docPr id="22" name="Imagem 2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Tabela&#10;&#10;Descrição gerada automaticamen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328" cy="750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E407C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FD8CC8E" wp14:editId="7B2C273E">
            <wp:extent cx="6300439" cy="2571359"/>
            <wp:effectExtent l="0" t="0" r="5715" b="635"/>
            <wp:docPr id="23" name="Imagem 2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Tabela&#10;&#10;Descrição gerada automaticamen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274" cy="25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C8F30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74CE22D7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7EA768C" wp14:editId="28D2D0F9">
            <wp:extent cx="6299835" cy="7542576"/>
            <wp:effectExtent l="0" t="0" r="5715" b="1270"/>
            <wp:docPr id="24" name="Imagem 2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Tabela&#10;&#10;Descrição gerada automaticamen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821" cy="75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B7C6E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70815835" w14:textId="77777777" w:rsidR="0077391B" w:rsidRDefault="0077391B" w:rsidP="0077391B">
      <w:pPr>
        <w:spacing w:after="0"/>
        <w:jc w:val="both"/>
        <w:rPr>
          <w:rFonts w:ascii="Arial" w:hAnsi="Arial" w:cs="Arial"/>
        </w:rPr>
      </w:pPr>
    </w:p>
    <w:p w14:paraId="3EB0CE02" w14:textId="1FDBF2FA" w:rsidR="00B61459" w:rsidRPr="0077391B" w:rsidRDefault="00B61459" w:rsidP="0077391B"/>
    <w:sectPr w:rsidR="00B61459" w:rsidRPr="0077391B" w:rsidSect="00CC41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A6"/>
    <w:rsid w:val="00010543"/>
    <w:rsid w:val="000122AB"/>
    <w:rsid w:val="00013E67"/>
    <w:rsid w:val="00017498"/>
    <w:rsid w:val="000266CE"/>
    <w:rsid w:val="00034F47"/>
    <w:rsid w:val="00040426"/>
    <w:rsid w:val="00054DD4"/>
    <w:rsid w:val="00057A71"/>
    <w:rsid w:val="00062266"/>
    <w:rsid w:val="000645C3"/>
    <w:rsid w:val="000664D3"/>
    <w:rsid w:val="00070CD4"/>
    <w:rsid w:val="00081D07"/>
    <w:rsid w:val="000840DF"/>
    <w:rsid w:val="000A3158"/>
    <w:rsid w:val="000A5B8E"/>
    <w:rsid w:val="000C2120"/>
    <w:rsid w:val="0010325F"/>
    <w:rsid w:val="001057F7"/>
    <w:rsid w:val="00106D04"/>
    <w:rsid w:val="00112249"/>
    <w:rsid w:val="00113D79"/>
    <w:rsid w:val="001147EF"/>
    <w:rsid w:val="00120A41"/>
    <w:rsid w:val="00123BE6"/>
    <w:rsid w:val="00134F7D"/>
    <w:rsid w:val="0015279F"/>
    <w:rsid w:val="00154855"/>
    <w:rsid w:val="001554A7"/>
    <w:rsid w:val="00162E51"/>
    <w:rsid w:val="0016541F"/>
    <w:rsid w:val="00175DFD"/>
    <w:rsid w:val="00177530"/>
    <w:rsid w:val="001776B2"/>
    <w:rsid w:val="00191ED4"/>
    <w:rsid w:val="001971A8"/>
    <w:rsid w:val="001C577E"/>
    <w:rsid w:val="001D2631"/>
    <w:rsid w:val="001D4C6F"/>
    <w:rsid w:val="001D5FCC"/>
    <w:rsid w:val="001D72F3"/>
    <w:rsid w:val="001E5585"/>
    <w:rsid w:val="001E7260"/>
    <w:rsid w:val="001F12CB"/>
    <w:rsid w:val="001F6163"/>
    <w:rsid w:val="001F76B1"/>
    <w:rsid w:val="0021253F"/>
    <w:rsid w:val="00217175"/>
    <w:rsid w:val="00220B6D"/>
    <w:rsid w:val="00224AE6"/>
    <w:rsid w:val="00234517"/>
    <w:rsid w:val="002503E6"/>
    <w:rsid w:val="00260734"/>
    <w:rsid w:val="00261FC2"/>
    <w:rsid w:val="00262945"/>
    <w:rsid w:val="00275DC2"/>
    <w:rsid w:val="00276D09"/>
    <w:rsid w:val="00282279"/>
    <w:rsid w:val="00294634"/>
    <w:rsid w:val="002A38A9"/>
    <w:rsid w:val="002C1535"/>
    <w:rsid w:val="002F19BA"/>
    <w:rsid w:val="002F362D"/>
    <w:rsid w:val="003033C6"/>
    <w:rsid w:val="00303797"/>
    <w:rsid w:val="00313468"/>
    <w:rsid w:val="00317CC2"/>
    <w:rsid w:val="00322873"/>
    <w:rsid w:val="003236DF"/>
    <w:rsid w:val="0032715F"/>
    <w:rsid w:val="00344BB8"/>
    <w:rsid w:val="00346758"/>
    <w:rsid w:val="00347E02"/>
    <w:rsid w:val="00371E02"/>
    <w:rsid w:val="0037412E"/>
    <w:rsid w:val="003770CE"/>
    <w:rsid w:val="0038159B"/>
    <w:rsid w:val="00382328"/>
    <w:rsid w:val="00385DF0"/>
    <w:rsid w:val="00387D44"/>
    <w:rsid w:val="00390A6D"/>
    <w:rsid w:val="003B34F8"/>
    <w:rsid w:val="003C58B0"/>
    <w:rsid w:val="003D212C"/>
    <w:rsid w:val="003E4E0E"/>
    <w:rsid w:val="003E5F52"/>
    <w:rsid w:val="0041007B"/>
    <w:rsid w:val="00412D74"/>
    <w:rsid w:val="0043342C"/>
    <w:rsid w:val="00440AF1"/>
    <w:rsid w:val="0046403A"/>
    <w:rsid w:val="004648B8"/>
    <w:rsid w:val="00472425"/>
    <w:rsid w:val="004823F5"/>
    <w:rsid w:val="00482B58"/>
    <w:rsid w:val="0049748A"/>
    <w:rsid w:val="004A2FD6"/>
    <w:rsid w:val="004A64A9"/>
    <w:rsid w:val="004A7A4A"/>
    <w:rsid w:val="004A7F9D"/>
    <w:rsid w:val="004B1600"/>
    <w:rsid w:val="004C5AF2"/>
    <w:rsid w:val="004C6831"/>
    <w:rsid w:val="004C7978"/>
    <w:rsid w:val="004D624F"/>
    <w:rsid w:val="004F5587"/>
    <w:rsid w:val="00500B50"/>
    <w:rsid w:val="00501BB3"/>
    <w:rsid w:val="00503D17"/>
    <w:rsid w:val="00503F2B"/>
    <w:rsid w:val="005075E3"/>
    <w:rsid w:val="00516EA0"/>
    <w:rsid w:val="00530C77"/>
    <w:rsid w:val="0053255A"/>
    <w:rsid w:val="00540C7A"/>
    <w:rsid w:val="0055641F"/>
    <w:rsid w:val="00582942"/>
    <w:rsid w:val="00586F9A"/>
    <w:rsid w:val="00591337"/>
    <w:rsid w:val="0059177E"/>
    <w:rsid w:val="0059190D"/>
    <w:rsid w:val="005A0924"/>
    <w:rsid w:val="005A0B30"/>
    <w:rsid w:val="005A21FF"/>
    <w:rsid w:val="005B12C5"/>
    <w:rsid w:val="005B14FE"/>
    <w:rsid w:val="005B243C"/>
    <w:rsid w:val="005B62BF"/>
    <w:rsid w:val="005D1171"/>
    <w:rsid w:val="005E054D"/>
    <w:rsid w:val="005F2837"/>
    <w:rsid w:val="00600558"/>
    <w:rsid w:val="006048BF"/>
    <w:rsid w:val="00606494"/>
    <w:rsid w:val="00615339"/>
    <w:rsid w:val="00624DB9"/>
    <w:rsid w:val="00632A92"/>
    <w:rsid w:val="00633B85"/>
    <w:rsid w:val="00643176"/>
    <w:rsid w:val="0064755D"/>
    <w:rsid w:val="00653FC0"/>
    <w:rsid w:val="006741BF"/>
    <w:rsid w:val="0068540B"/>
    <w:rsid w:val="00687D30"/>
    <w:rsid w:val="00692AEA"/>
    <w:rsid w:val="006A0C8C"/>
    <w:rsid w:val="006A129C"/>
    <w:rsid w:val="006A6C4A"/>
    <w:rsid w:val="006A7DDC"/>
    <w:rsid w:val="006B5314"/>
    <w:rsid w:val="006B66D2"/>
    <w:rsid w:val="006D1DE1"/>
    <w:rsid w:val="006E20FF"/>
    <w:rsid w:val="006E647B"/>
    <w:rsid w:val="006F2B27"/>
    <w:rsid w:val="006F58C0"/>
    <w:rsid w:val="00705550"/>
    <w:rsid w:val="0071026F"/>
    <w:rsid w:val="00712E6E"/>
    <w:rsid w:val="00715109"/>
    <w:rsid w:val="0072373F"/>
    <w:rsid w:val="0073062B"/>
    <w:rsid w:val="0073768F"/>
    <w:rsid w:val="007408F3"/>
    <w:rsid w:val="00753D29"/>
    <w:rsid w:val="00753F4D"/>
    <w:rsid w:val="00756677"/>
    <w:rsid w:val="00765CA0"/>
    <w:rsid w:val="0077391B"/>
    <w:rsid w:val="00781DA3"/>
    <w:rsid w:val="00785B76"/>
    <w:rsid w:val="00794176"/>
    <w:rsid w:val="007A0D10"/>
    <w:rsid w:val="007B04A7"/>
    <w:rsid w:val="007B0916"/>
    <w:rsid w:val="007B44C7"/>
    <w:rsid w:val="007C03A7"/>
    <w:rsid w:val="007C1995"/>
    <w:rsid w:val="007C1AD4"/>
    <w:rsid w:val="007E55AD"/>
    <w:rsid w:val="007F000F"/>
    <w:rsid w:val="007F5F66"/>
    <w:rsid w:val="008112B9"/>
    <w:rsid w:val="008168C9"/>
    <w:rsid w:val="00820147"/>
    <w:rsid w:val="008421C8"/>
    <w:rsid w:val="00847CBF"/>
    <w:rsid w:val="008601A7"/>
    <w:rsid w:val="00881D19"/>
    <w:rsid w:val="0088743F"/>
    <w:rsid w:val="00894729"/>
    <w:rsid w:val="008948D1"/>
    <w:rsid w:val="008948D2"/>
    <w:rsid w:val="008953A5"/>
    <w:rsid w:val="0089668F"/>
    <w:rsid w:val="008A11B5"/>
    <w:rsid w:val="008B22D3"/>
    <w:rsid w:val="008C3331"/>
    <w:rsid w:val="008C7B49"/>
    <w:rsid w:val="008E01E7"/>
    <w:rsid w:val="008E3C70"/>
    <w:rsid w:val="008E6E61"/>
    <w:rsid w:val="00910E44"/>
    <w:rsid w:val="00914A88"/>
    <w:rsid w:val="00915032"/>
    <w:rsid w:val="0092248C"/>
    <w:rsid w:val="00940C10"/>
    <w:rsid w:val="0094537E"/>
    <w:rsid w:val="00953266"/>
    <w:rsid w:val="009553C9"/>
    <w:rsid w:val="009606D8"/>
    <w:rsid w:val="009778C5"/>
    <w:rsid w:val="00984FB9"/>
    <w:rsid w:val="00997A8F"/>
    <w:rsid w:val="009A6298"/>
    <w:rsid w:val="009B5611"/>
    <w:rsid w:val="009B5B0E"/>
    <w:rsid w:val="009C274F"/>
    <w:rsid w:val="009E0CF3"/>
    <w:rsid w:val="009E4AD8"/>
    <w:rsid w:val="009E5A40"/>
    <w:rsid w:val="009F6824"/>
    <w:rsid w:val="00A003D4"/>
    <w:rsid w:val="00A124DE"/>
    <w:rsid w:val="00A12CED"/>
    <w:rsid w:val="00A161A3"/>
    <w:rsid w:val="00A23E0A"/>
    <w:rsid w:val="00A27AE0"/>
    <w:rsid w:val="00A33EE3"/>
    <w:rsid w:val="00A35B75"/>
    <w:rsid w:val="00A37247"/>
    <w:rsid w:val="00A50C2B"/>
    <w:rsid w:val="00A5302E"/>
    <w:rsid w:val="00A55DD3"/>
    <w:rsid w:val="00A60C8B"/>
    <w:rsid w:val="00A67076"/>
    <w:rsid w:val="00A77398"/>
    <w:rsid w:val="00A777E5"/>
    <w:rsid w:val="00A81C70"/>
    <w:rsid w:val="00A9036C"/>
    <w:rsid w:val="00A9593B"/>
    <w:rsid w:val="00A9641B"/>
    <w:rsid w:val="00A9687C"/>
    <w:rsid w:val="00AA06C1"/>
    <w:rsid w:val="00AA7001"/>
    <w:rsid w:val="00AC5870"/>
    <w:rsid w:val="00AC63B5"/>
    <w:rsid w:val="00AC7BF8"/>
    <w:rsid w:val="00AD7002"/>
    <w:rsid w:val="00AE3AD1"/>
    <w:rsid w:val="00AE532D"/>
    <w:rsid w:val="00AF4FF6"/>
    <w:rsid w:val="00AF51A2"/>
    <w:rsid w:val="00B0278D"/>
    <w:rsid w:val="00B039BB"/>
    <w:rsid w:val="00B04B09"/>
    <w:rsid w:val="00B11199"/>
    <w:rsid w:val="00B249BA"/>
    <w:rsid w:val="00B31B70"/>
    <w:rsid w:val="00B339FE"/>
    <w:rsid w:val="00B433CF"/>
    <w:rsid w:val="00B532DD"/>
    <w:rsid w:val="00B5425F"/>
    <w:rsid w:val="00B561F2"/>
    <w:rsid w:val="00B61459"/>
    <w:rsid w:val="00B72B7D"/>
    <w:rsid w:val="00B73CB7"/>
    <w:rsid w:val="00B764F8"/>
    <w:rsid w:val="00B82F49"/>
    <w:rsid w:val="00B8347A"/>
    <w:rsid w:val="00B9210F"/>
    <w:rsid w:val="00BA05B6"/>
    <w:rsid w:val="00BA52D4"/>
    <w:rsid w:val="00BA798A"/>
    <w:rsid w:val="00BB425F"/>
    <w:rsid w:val="00BC0EA1"/>
    <w:rsid w:val="00BC5835"/>
    <w:rsid w:val="00BE7BC7"/>
    <w:rsid w:val="00BF4286"/>
    <w:rsid w:val="00C02619"/>
    <w:rsid w:val="00C04583"/>
    <w:rsid w:val="00C0570E"/>
    <w:rsid w:val="00C106AE"/>
    <w:rsid w:val="00C15235"/>
    <w:rsid w:val="00C20277"/>
    <w:rsid w:val="00C211DC"/>
    <w:rsid w:val="00C229D8"/>
    <w:rsid w:val="00C26D54"/>
    <w:rsid w:val="00C26DB8"/>
    <w:rsid w:val="00C43657"/>
    <w:rsid w:val="00C545C9"/>
    <w:rsid w:val="00C556C3"/>
    <w:rsid w:val="00C55B97"/>
    <w:rsid w:val="00C725FD"/>
    <w:rsid w:val="00C735FA"/>
    <w:rsid w:val="00C82364"/>
    <w:rsid w:val="00C86EF8"/>
    <w:rsid w:val="00CA2B27"/>
    <w:rsid w:val="00CA4E5B"/>
    <w:rsid w:val="00CC41A6"/>
    <w:rsid w:val="00CD1B90"/>
    <w:rsid w:val="00CD1EF4"/>
    <w:rsid w:val="00CE3653"/>
    <w:rsid w:val="00CF461C"/>
    <w:rsid w:val="00CF7816"/>
    <w:rsid w:val="00D034B8"/>
    <w:rsid w:val="00D053C0"/>
    <w:rsid w:val="00D25DC0"/>
    <w:rsid w:val="00D315E7"/>
    <w:rsid w:val="00D517FA"/>
    <w:rsid w:val="00D51DC5"/>
    <w:rsid w:val="00D551E3"/>
    <w:rsid w:val="00D615FD"/>
    <w:rsid w:val="00D750F4"/>
    <w:rsid w:val="00D76E03"/>
    <w:rsid w:val="00D807C8"/>
    <w:rsid w:val="00D85DF3"/>
    <w:rsid w:val="00D861B3"/>
    <w:rsid w:val="00D869EB"/>
    <w:rsid w:val="00D911CB"/>
    <w:rsid w:val="00DC5051"/>
    <w:rsid w:val="00DC69A3"/>
    <w:rsid w:val="00DE4B9C"/>
    <w:rsid w:val="00E07BDF"/>
    <w:rsid w:val="00E132F7"/>
    <w:rsid w:val="00E227C1"/>
    <w:rsid w:val="00E2475E"/>
    <w:rsid w:val="00E41481"/>
    <w:rsid w:val="00E45A27"/>
    <w:rsid w:val="00E552DE"/>
    <w:rsid w:val="00E600C3"/>
    <w:rsid w:val="00E61646"/>
    <w:rsid w:val="00E661DD"/>
    <w:rsid w:val="00E70AD8"/>
    <w:rsid w:val="00E910AC"/>
    <w:rsid w:val="00E9521B"/>
    <w:rsid w:val="00E961A0"/>
    <w:rsid w:val="00E974ED"/>
    <w:rsid w:val="00EA63DA"/>
    <w:rsid w:val="00EB0B07"/>
    <w:rsid w:val="00EC1E8E"/>
    <w:rsid w:val="00EC4B4A"/>
    <w:rsid w:val="00ED086D"/>
    <w:rsid w:val="00ED4B7E"/>
    <w:rsid w:val="00EE2D9E"/>
    <w:rsid w:val="00EE4310"/>
    <w:rsid w:val="00EE4550"/>
    <w:rsid w:val="00EF37BD"/>
    <w:rsid w:val="00EF6BB1"/>
    <w:rsid w:val="00F13879"/>
    <w:rsid w:val="00F20FB9"/>
    <w:rsid w:val="00F3220E"/>
    <w:rsid w:val="00F33182"/>
    <w:rsid w:val="00F4543F"/>
    <w:rsid w:val="00F4599B"/>
    <w:rsid w:val="00F7482E"/>
    <w:rsid w:val="00F753AC"/>
    <w:rsid w:val="00F76C57"/>
    <w:rsid w:val="00F77B1C"/>
    <w:rsid w:val="00F80B0A"/>
    <w:rsid w:val="00F84CBF"/>
    <w:rsid w:val="00F85DF7"/>
    <w:rsid w:val="00F8758D"/>
    <w:rsid w:val="00F9668E"/>
    <w:rsid w:val="00FB4182"/>
    <w:rsid w:val="00FC10B6"/>
    <w:rsid w:val="00FC3CCB"/>
    <w:rsid w:val="00FD57E6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A8D1"/>
  <w15:chartTrackingRefBased/>
  <w15:docId w15:val="{21715E0D-D933-48A8-AB35-49485A6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22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148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saopaulo.sp.leg.br/escoladoparlamento/selecao-de-docentes/credenciamento-cursos-livres-extensao-pos/curso-de-extensao-politicas-publicas-de-habitacao/" TargetMode="External"/><Relationship Id="rId18" Type="http://schemas.openxmlformats.org/officeDocument/2006/relationships/image" Target="media/image9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hyperlink" Target="https://www.saopaulo.sp.leg.br/escoladoparlamento/selecao-de-docentes/credenciamento-cursos-livres-extensao-pos/curso-de-extensao-politicas-publicas-de-habitacao/" TargetMode="External"/><Relationship Id="rId11" Type="http://schemas.openxmlformats.org/officeDocument/2006/relationships/hyperlink" Target="https://www.saopaulo.sp.leg.br/escoladoparlamento/selecao-de-docentes/credenciamento-cursos-livres-extensao-pos/curso-de-extensao-politicas-publicas-de-habitacao/" TargetMode="External"/><Relationship Id="rId5" Type="http://schemas.openxmlformats.org/officeDocument/2006/relationships/hyperlink" Target="https://www.saopaulo.sp.leg.br/escoladoparlamento/selecao-de-docentes/credenciamento-cursos-livres-extensao-pos/curso-de-extensao-politicas-publicas-de-habitacao/" TargetMode="External"/><Relationship Id="rId15" Type="http://schemas.openxmlformats.org/officeDocument/2006/relationships/image" Target="media/image6.jpg"/><Relationship Id="rId10" Type="http://schemas.openxmlformats.org/officeDocument/2006/relationships/hyperlink" Target="https://www.saopaulo.sp.leg.br/escoladoparlamento/selecao-de-docentes/credenciamento-cursos-livres-extensao-pos/curso-de-extensao-politicas-publicas-de-habitacao/" TargetMode="External"/><Relationship Id="rId19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hyperlink" Target="https://www.saopaulo.sp.leg.br/escoladoparlamento/selecao-de--docentes/credenciamento-cursos-livres-extensao-pos/curso-de-extensao-politicas-publicas-de-habitacao/" TargetMode="Externa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4718</Words>
  <Characters>25483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</dc:creator>
  <cp:keywords/>
  <dc:description/>
  <cp:lastModifiedBy>Yukiko Kouchi</cp:lastModifiedBy>
  <cp:revision>3</cp:revision>
  <cp:lastPrinted>2022-01-15T14:24:00Z</cp:lastPrinted>
  <dcterms:created xsi:type="dcterms:W3CDTF">2022-01-15T14:24:00Z</dcterms:created>
  <dcterms:modified xsi:type="dcterms:W3CDTF">2022-01-15T14:26:00Z</dcterms:modified>
</cp:coreProperties>
</file>