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92AF" w14:textId="0D351E31" w:rsidR="00AB7915" w:rsidRDefault="00AB7915" w:rsidP="00AB79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20/12/2022 - </w:t>
      </w:r>
      <w:r>
        <w:rPr>
          <w:rFonts w:ascii="Arial" w:hAnsi="Arial" w:cs="Arial"/>
        </w:rPr>
        <w:t>pp. 13 e 14</w:t>
      </w:r>
    </w:p>
    <w:p w14:paraId="49D3EA75" w14:textId="77777777" w:rsidR="00AB7915" w:rsidRDefault="00AB7915" w:rsidP="00AB7915">
      <w:pPr>
        <w:spacing w:after="0"/>
        <w:jc w:val="both"/>
        <w:rPr>
          <w:rFonts w:ascii="Arial" w:hAnsi="Arial" w:cs="Arial"/>
        </w:rPr>
      </w:pPr>
    </w:p>
    <w:p w14:paraId="789DF878" w14:textId="3D9DCC5F" w:rsidR="00AB7915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CONSELHO MUNICIPAL DE EDUCAÇÃO</w:t>
      </w:r>
    </w:p>
    <w:p w14:paraId="69B62EFA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</w:p>
    <w:p w14:paraId="5F521CF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SEI 6016.2022/0132297-0</w:t>
      </w:r>
    </w:p>
    <w:p w14:paraId="6C2D069D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Interessado: Secretaria Municipal de Educação</w:t>
      </w:r>
    </w:p>
    <w:p w14:paraId="1663B6AA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 xml:space="preserve">Assunto: </w:t>
      </w:r>
      <w:r w:rsidRPr="00FB3F2A">
        <w:rPr>
          <w:rFonts w:ascii="Arial" w:hAnsi="Arial" w:cs="Arial"/>
          <w:b/>
          <w:bCs/>
          <w:i/>
          <w:iCs/>
        </w:rPr>
        <w:t>Estabelece orientações sobre atividades comerciais livres que atendem bebês e crianças</w:t>
      </w:r>
    </w:p>
    <w:p w14:paraId="0A635487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Conselheiros Relatores: Beatriz Cardoso e Alexsandro do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Nascimento Santos</w:t>
      </w:r>
    </w:p>
    <w:p w14:paraId="1FAE7E6F" w14:textId="77777777" w:rsidR="00AB7915" w:rsidRPr="00FB3F2A" w:rsidRDefault="00AB7915" w:rsidP="00AB7915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>Recomendação CME nº 04/2022</w:t>
      </w:r>
    </w:p>
    <w:p w14:paraId="0435356E" w14:textId="61D66E3B" w:rsidR="00AB7915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Aprovada em Sessão Plenária de 08/12/2022</w:t>
      </w:r>
    </w:p>
    <w:p w14:paraId="7A4FC491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</w:p>
    <w:p w14:paraId="084F6CEB" w14:textId="6134E789" w:rsidR="00AB7915" w:rsidRDefault="00AB7915" w:rsidP="00AB7915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>1. Introdução</w:t>
      </w:r>
    </w:p>
    <w:p w14:paraId="45A34C29" w14:textId="77777777" w:rsidR="00AB7915" w:rsidRPr="00FB3F2A" w:rsidRDefault="00AB7915" w:rsidP="00AB7915">
      <w:pPr>
        <w:spacing w:after="0"/>
        <w:jc w:val="both"/>
        <w:rPr>
          <w:rFonts w:ascii="Arial" w:hAnsi="Arial" w:cs="Arial"/>
          <w:b/>
          <w:bCs/>
        </w:rPr>
      </w:pPr>
    </w:p>
    <w:p w14:paraId="6A12306F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As Diretorias Regionais de Educação (DRE), órgãos de gestão regional da Secretaria Municipal de Educação de São Paulo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têm sido procuradas e acionadas por munícipes que apresentam relatos e denúncias relativas às condições de funcionamento de serviços particulares, de natureza comercial, destinados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ao atendimento de crianças, nomeados de centros/espaços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recreação infantil, brinquedotecas, hoteizinhos e semelhantes.</w:t>
      </w:r>
    </w:p>
    <w:p w14:paraId="56D913F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Tais atividades, por sua natureza comercial, não se confundem com situações de cuidado compartilhado entre famílias,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construídas mediante redes de solidariedade mútua e estão,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portanto, sujeitas à regulamentação e fiscalização do poder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público. São, efetivamente, atividades comerciais, presididas por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uma lógica de prestação de serviço para famílias que remuneram os agentes econômicos responsáveis por elas.</w:t>
      </w:r>
    </w:p>
    <w:p w14:paraId="60DF3442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Existe uma ambiguidade na percepção das famílias e 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sociedade em geral a respeito da identificação desses serviços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comerciais, que por vezes acabam sendo interpretadas como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oferta de educação escolar destinadas às crianças pequenas. Tal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imprecisão está relacionada, entre outros fatores, à própria trajetória histórica dos serviços de educação infantil (especialmente as creches) em nosso país e à lenta transformação cultural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que tem sido processada na compreensão da população sobre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essa transição.</w:t>
      </w:r>
    </w:p>
    <w:p w14:paraId="6DE49FCA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 percepção das famílias e da sociedade também ecoa na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classificação jurídica e fiscal desses serviços e no seu enquadramento na Classificação Nacional de Atividades Econômicas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– CNAE. Considerando que o processo de registro dos negócios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junto aos órgãos de regulamentação comercial e fiscal é feito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mediante declaração dos agentes econômicos que indicam qual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 categoria que julgam adequada para registrar os serviços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prestam, muitas vezes tal classificação é marcada por imprecisões e equívocos. Para minimizar problemas neste campo seria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recomendado que os mantenedores destas iniciativas entregassem às famílias documentação que caracterize o tipo de serviço</w:t>
      </w:r>
    </w:p>
    <w:p w14:paraId="76D30416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ofertado, deixando claro o caráter complementar.</w:t>
      </w:r>
    </w:p>
    <w:p w14:paraId="1850BC0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 título de exemplo, muitas instituições de educação infantil que, em princípio, deveriam ser registradas sob os códigos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CNAE 85.11-2 (Educação Infantil – Creche) e 85.12-1 (Educação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Infantil – Pré-Escola), optam por se registrar utilizando 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códigos CNAE 93.29-8 (Atividades de Recreação e Lazer não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especificadas anteriormente) e 85.99-6.99 (Outras atividades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ensino não especificadas anteriormente).</w:t>
      </w:r>
    </w:p>
    <w:p w14:paraId="6C491727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Tais ambiguidades se colocam como um desafio à atividade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acompanhamento, orientação, supervisão e fiscalização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desenvolvido pelas equipes técnicas das Diretorias Regionais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Educação que, muitas vezes, precisam definir se os serviços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atendem crianças pequenas nos diferentes territórios da cidade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podem ou não ser classificados como serviços de educação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infantil para que sejam assumidos os protocolos indicados na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legislação vigente.</w:t>
      </w:r>
    </w:p>
    <w:p w14:paraId="4B0A142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Assim sendo, considerando que este Conselho Municipal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Educação é órgão normativo e deliberativo, com competência de elaborar normas e propor encaminhamentos para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 xml:space="preserve">as questões relativas </w:t>
      </w:r>
      <w:r w:rsidRPr="00DB0399">
        <w:rPr>
          <w:rFonts w:ascii="Arial" w:hAnsi="Arial" w:cs="Arial"/>
        </w:rPr>
        <w:lastRenderedPageBreak/>
        <w:t>ao funcionamento de todo o Sistema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Municipal de Ensino, a presente RECOMENDAÇÃO objetiva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propor parâmetros seguros para a interpretação e tratamento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dessas situações.</w:t>
      </w:r>
    </w:p>
    <w:p w14:paraId="235EF20C" w14:textId="77777777" w:rsidR="00AB7915" w:rsidRDefault="00AB7915" w:rsidP="00AB7915">
      <w:pPr>
        <w:spacing w:after="0"/>
        <w:jc w:val="both"/>
        <w:rPr>
          <w:rFonts w:ascii="Arial" w:hAnsi="Arial" w:cs="Arial"/>
          <w:b/>
          <w:bCs/>
        </w:rPr>
      </w:pPr>
    </w:p>
    <w:p w14:paraId="03727D8E" w14:textId="77777777" w:rsidR="00AB7915" w:rsidRDefault="00AB7915" w:rsidP="00AB7915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>2. Elementos que orientam esta RECOMEDAÇÃO</w:t>
      </w:r>
    </w:p>
    <w:p w14:paraId="5CB2EB43" w14:textId="0C787022" w:rsidR="00AB7915" w:rsidRPr="00FB3F2A" w:rsidRDefault="00AB7915" w:rsidP="00AB7915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 xml:space="preserve"> </w:t>
      </w:r>
    </w:p>
    <w:p w14:paraId="56F848CC" w14:textId="4531657D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Os elementos que orientam esta recomendação estão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organizados em duas dimensões que serão tratadas separadamente: (1) a caracterização das instituições de educação infantil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de suas formas de atendimento às crianças pequenas e (2)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compreensão sobre a importância singular da brincadeira para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o desenvolvimento integral das crianças bem pequenas.</w:t>
      </w:r>
    </w:p>
    <w:p w14:paraId="0E0DA3B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2.1. A caracterização das instituições de educação infantil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suas formas de atendimento às crianças pequenas</w:t>
      </w:r>
      <w:r>
        <w:rPr>
          <w:rFonts w:ascii="Arial" w:hAnsi="Arial" w:cs="Arial"/>
        </w:rPr>
        <w:t xml:space="preserve"> </w:t>
      </w:r>
    </w:p>
    <w:p w14:paraId="3C4D47CB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Para que sejam superadas as ambiguidades e imprecisões existentes na matéria em análise, importa reconhecer,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partida, um elemento estruturante do ordenamento jurídico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brasileiro que é o direito humano à educação como um direito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público e subjetivo. Este direito humano é de titularidade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cada indivíduo, incluindo aqui cada um dos bebês e crianças.</w:t>
      </w:r>
    </w:p>
    <w:p w14:paraId="7BC7FAB4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Assim, as famílias, o Estado e a sociedade como um todo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devem envidar todos os esforços para garantir que este direito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seja plenamente exercido, eliminando qualquer obstáculo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possa dificultar sua efetivação.</w:t>
      </w:r>
    </w:p>
    <w:p w14:paraId="41E9C1ED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No que tange especificamente à Educação Infantil, a Lei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Diretrizes e Bases da Educação Nacional (Lei Federal nº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9394/96), em seu artigo 29, afirma que “A educação infantil,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primeira etapa da educação básica, tem como finalidade 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desenvolvimento integral da criança de até 5 (cinco) anos, 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seus aspectos físico, psicológico, intelectual e social, complementando a ação da família e da comunidade”.</w:t>
      </w:r>
    </w:p>
    <w:p w14:paraId="3FC188B9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Na sequência, o artigo 30 sinaliza que a Educação Infantil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deverá ser oferecida em: I – creches ou entidades equivalentes,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para crianças de até três anos de idade; II – pré-escolas, para 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 de 4 a 5 anos de idade.</w:t>
      </w:r>
    </w:p>
    <w:p w14:paraId="7EA7030F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Adicionalmente, o artigo 31 orienta quanto às regras comuns que devem guiar a oferta da Educação Infantil (avaliação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mediante acompanhamento e registro do desenvolvimento das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crianças; carga horária mínima de 800 horas, distribuídas por,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no mínimo, 200 dias letivos; atendimento das crianças por um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mínimo de 4 horas diárias para o turno parcial e 7 horas para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jornada integral, controle de frequência mínima e expedição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documentação que permita atestar os processos de desenvolvimento e aprendizagem das crianças).</w:t>
      </w:r>
    </w:p>
    <w:p w14:paraId="682D5F31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Alertamos para a expressão “creches ou entidades equivalentes”, explicitamente sinalizada no inciso I do artigo 30. Esta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redação pretendeu dialogar com as características políticas,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institucionais e sócio-históricas do atendimento educacional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 pequenas no Brasil. Este atendimento esteve distribuído, até a última década do século XX, em diferentes formatos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institucionais, vinculados a diferentes campos da política pública e da regulamentação estatal. Trata-se de uma história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na qual o protagonismo e a liderança desse atendimento não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estiveram presididos sempre pelo sentido educacional ou pela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preocupação ostensiva com o desenvolvimento integral das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crianças, uma vez que, muitas vezes, outras lógicas se sobrepunham a essa perspectiva.</w:t>
      </w:r>
    </w:p>
    <w:p w14:paraId="2FA9C7AC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Foi a partir da confluência entre as descobertas da pesquisa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científica, o ativismo profissional dos educadores e das educadoras e a pressão da sociedade brasileira que construímos um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consenso em torno da prevalência do sentido educacional e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uma preocupação ostensiva e intencional com a aprendizagem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o desenvolvimento integral dos bebês e crianças para presidir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 estrutura, o funcionamento e as características das instituições de educação infantil.</w:t>
      </w:r>
    </w:p>
    <w:p w14:paraId="1F5DE867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Afirmamos esse consenso na Lei de Diretrizes e Bases 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Educação de 1996 de forma tão absoluta que o legislador fez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questão de sinalizar que este entendimento não se restringia às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instituições do tipo “creche”, mas também às entidades equivalentes que desejassem se dedicar ao cuidado e à educação das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 bem pequenas. Todas elas deveriam ser interpretadas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 partir dessa premissa: de que são instituições de educação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infantil.</w:t>
      </w:r>
    </w:p>
    <w:p w14:paraId="70A985DE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lastRenderedPageBreak/>
        <w:t>Tal compreensão foi reafirmada pelo Conselho Nacional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Educação quando tratou de consulta formulada pelo Conselho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Municipal de Educação de Porto Real (RJ) em matéria equivalente. Naquela oportunidade, localizou-se na cidade de Porto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Real, instituição denominada Centro de Recreação Infantil sem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autorização de funcionamento. Ao indicar a necessidade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regularização da situação, a Secretaria Municipal de Educação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recebeu manifestação da mantenedora, informando que funcionava apenas como um espaço de recreação infantil e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não tinha interesse em ser classificada como instituição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educação infantil. Assim, compreendia não ser constrangida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pela legislação específica que regia, naquele município, a autorização de funcionamento e o acompanhamento/supervisão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municipal do serviço.</w:t>
      </w:r>
    </w:p>
    <w:p w14:paraId="3281764F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 posição exarada pelo Conselho Nacional de Educação,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 partir da relatoria da Conselheira Regina Vinhaes Gracindo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consolidada no Parecer CNE/CEB nº 6/2008 não deixa dúvidas: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os serviços comerciais, oferecidos em instituições que se proponham a envolver crianças de 0 a 3 anos atividades de cuidado/educação ou recreação devem ser reconhecidas, na forma 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Lei 9394/96 como equivalentes às creches, obedecendo, então,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 regulamentação estabelecida em cada sistema de ensino para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sua autorização, funcionamento e supervisão.</w:t>
      </w:r>
    </w:p>
    <w:p w14:paraId="2BA47477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O Parecer CNE/CEB nº 6/2008 alerta para a importância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desta compreensão, na perspectiva da proteção integral dos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direitos das crianças pequenas e, retomando o Parecer CNE/CEB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nº 22/1998, afirma que:</w:t>
      </w:r>
    </w:p>
    <w:p w14:paraId="5F14C2CF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 partir desta perspectiva, é muito importante que 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Conselhos Municipais e Estaduais de Educação e respectivas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Secretarias tenham clareza a respeito de que as Diretrizes Curriculares Nacionais para a Educação Infantil são mandatórias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para todas as instituições de cuidado e educação para crianças</w:t>
      </w:r>
    </w:p>
    <w:p w14:paraId="3A826746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de 0 a 6 anos.1</w:t>
      </w:r>
    </w:p>
    <w:p w14:paraId="37C0CDBC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Para afastar a hipótese da equivalência dos serviços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recreação infantil/hoteizinhos e semelhantes à categoria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instituição de educação infantil – creche, seria necessário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caracterizar situação na qual as crianças de 0 a 3 anos fossem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atendidas apenas em caráter complementar, em horários reduzidos, distintos daqueles em que elas estivessem matriculadas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numa creche pertencente ao Sistema Municipal de Ensino. E,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qualquer forma, vale destacar também que, mesmo este tipo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oferta de atividade complementar, deve garantir condições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sanitárias e de segurança em seu atendimento, sob a responsabilidade da municipalidade.</w:t>
      </w:r>
    </w:p>
    <w:p w14:paraId="7AA16EF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Ocorre que, embora o atendimento às crianças de 0 a 3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anos não seja obrigatório por lei, empiricamente, o atendimento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educacional a essa faixa etária tende a obedecer a jornada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integral de atividades, distribuídas ao longo do dia, o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afasta a pretensa noção de ‘complementariedade’ de espaços</w:t>
      </w:r>
    </w:p>
    <w:p w14:paraId="1E2A4F5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de recreação infantil. Objetivamente, na maior parte dos casos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empíricos que este Conselho localiza, os nomeados núcleos/centros de recreação infantil/brinquedotecas ocupam espaço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exclusivo no atendimento das crianças, o que os enquadra na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definição de “equivalente à creche”, estabelecida no diploma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legal. Quando este for o caso, estes serviços devem dar início ao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processo de regularização do atendimento. Entretanto, quando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 caracterizar por atendimento eventual/parcial, que não se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enquadra no Sistema Municipal de Ensino, a responsabilidade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pela adequação no atendimento fica à cargo da municipalidade.</w:t>
      </w:r>
    </w:p>
    <w:p w14:paraId="5831DE1F" w14:textId="77777777" w:rsidR="00AB7915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Resta analisar a situação das crianças de 4 e 5 anos.</w:t>
      </w:r>
      <w:r>
        <w:rPr>
          <w:rFonts w:ascii="Arial" w:hAnsi="Arial" w:cs="Arial"/>
        </w:rPr>
        <w:t xml:space="preserve"> </w:t>
      </w:r>
    </w:p>
    <w:p w14:paraId="0C23233B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Para elas, a legislação brasileira estabelece uma importante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distinção: o direito à educação do qual ela é titular alcança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uma qualidade distinta, qual seja: a compulsoriedade de sua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realização. O Brasil decidiu que toda e qualquer criança com 4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anos ou mais deve estar, obrigatoriamente, matriculada numa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instituição de educação infantil e tal definição exige que sua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família, o poder público e a sociedade como um todo atuem no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sentido de impedir qualquer embaraço à sua efetivação.</w:t>
      </w:r>
    </w:p>
    <w:p w14:paraId="3B0B4B5A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Diferente do que acontece na faixa etária de 0 a 3 anos,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as instituições que atendem crianças de 4 e 5 anos possuem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diferentes arranjos relativos à jornada diária de atividades. Há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modelos organizados para atender essas crianças em tempo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parcial (4, 5 ou 6 horas) e em tempo integral (variando entre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7 e 12 horas). Deste modo, em tese, poder-se-ia admitir que 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serviços do tipo “recreação” ou “hotelzinho” assumissem um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caráter complementar ao atendimento nas pré-escolas.</w:t>
      </w:r>
    </w:p>
    <w:p w14:paraId="3B568906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lastRenderedPageBreak/>
        <w:t>Entretanto, há, dois elementos a serem considerados: 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primeiro diz respeito às consequências do dispositivo compulsório de matrícula para as crianças de 4 e 5 anos e o segundo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diz respeito à interpretação mais ampla da regulamentação dos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serviços destinados às crianças, à luz das Diretrizes Curriculares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Nacionais para a Educação Infantil.</w:t>
      </w:r>
    </w:p>
    <w:p w14:paraId="01D3700B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Sendo a matrícula numa instituição de educação infantil compulsória para este público, qualquer instituição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pretenda assumir, como prestação de serviço, atividades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cuidado/educação para esta faixa etária, ainda que afirme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 trata apenas da vivência de atividades lúdicas/recreativas,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precisa definir com bastante nitidez se fará isso assumindo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personalidade jurídica de uma escola de educação infantil ou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 fará isso como um serviço complementar de educação. Na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primeira hipótese, deverá obedecer a toda regulamentação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estabelecida em favor da proteção integral das crianças e 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garantia de padrões básicos de qualidade do atendimento. Na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segunda hipótese, de oferecimento de serviços complementares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atendimento, deverá comprovar que as crianças atendidas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naquele espaço estão efetivamente matriculadas em outra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instituição de educação infantil, sob pena de estar colaborando,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por omissão, para a violação do direito à educação estabelecida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na legislação brasileira.</w:t>
      </w:r>
    </w:p>
    <w:p w14:paraId="277E06B4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Essa nitidez precisa também estar materializada na relação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estabelecida com as famílias, para que elas compreendam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natureza de cada tipo de serviço e possa decidir, com plena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consciência, qual modalidade contratar para satisfazer suas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necessidades e interesses.</w:t>
      </w:r>
    </w:p>
    <w:p w14:paraId="28D3DD6B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Todavia, mesmo nas situações em que as instituições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comprovem que prestam serviços apenas complementares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àqueles oferecidos nas pré-escolas, deve-se ter em vista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elas seguem sendo instituições de cuidado/educação de crianças pequenas (à luz dos já citados pareceres CNE/CEB nº 6/2008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nº 22/1998).</w:t>
      </w:r>
    </w:p>
    <w:p w14:paraId="62E21AED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Assinalamos essas questões com o objetivo de sublinhar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importância de uma definição explícita e abrangente das instituições e serviços comerciais que atendem crianças pequenas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como instituições de educação infantil, ainda que recebam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nomes comerciais e registros fiscais diferentes daqueles normalmente utilizados para as creches e pré-escolas. Tal indicação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não deve, evidentemente, criar obstáculos desnecessários à livre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iniciativa, nem configurar situações de hiper-regulação pouco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razoáveis, no entanto devem atuar de acordo com a visão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desenvolvimento infantil que permeia o marco legal da cidade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sobre atividades educacionais, estando em consonância, 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especial, com o Plano da Primeira Infância da Cidade de São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Paulo, liderado pela Secretaria de Governo. Mas, na missão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precípua de atuarmos em defesa das crianças, protegendo-as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situações potenciais de violação de direitos, não podemos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nos furtar ao exercício parcimonioso de normatização, fiscalização e controle.</w:t>
      </w:r>
      <w:r>
        <w:rPr>
          <w:rFonts w:ascii="Arial" w:hAnsi="Arial" w:cs="Arial"/>
        </w:rPr>
        <w:t xml:space="preserve"> </w:t>
      </w:r>
    </w:p>
    <w:p w14:paraId="172FD3C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2.2. Brincar é coisa séria: a importância singular da brincadeira para o desenvolvimento integral das crianças bem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pequenas</w:t>
      </w:r>
    </w:p>
    <w:p w14:paraId="20DB9544" w14:textId="77777777" w:rsidR="00AB7915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Parte dos argumentos que pretendem sustentar a hipótese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que serviços comerciais denominados de centro de recreação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infantil/núcleo de recreação infantil ou hotelzinho não se caracterizam como instituições de educação infantil se faz em torno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da ideia de que nesses espaços, as crianças apenas “brincam”,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que fruem, ali, atividades lúdicas, sem caráter educativo ou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pedagógico.</w:t>
      </w:r>
    </w:p>
    <w:p w14:paraId="22FA18BD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O campo da pesquisa sobre desenvolvimento infantil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sobre a educação das crianças pequenas produziu, especialmente ao longo dos últimos 60 anos, um conjunto robusto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diversificado de evidências científicas a respeito do lugar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central das atividades lúdicas no processo de desenvolvimento</w:t>
      </w:r>
    </w:p>
    <w:p w14:paraId="6F93C5A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integral das crianças e na delicada tessitura de suas identidades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subjetividades.</w:t>
      </w:r>
    </w:p>
    <w:p w14:paraId="13118975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Quando se envolvem em situações de brincar, as crianças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colocam em jogo todas as suas potencialidades e capacidades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experimentam interações sociais e simbólicas exigentes, bem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como processos cognitivos e metacognitivos complexos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integram seu corpo, suas emoções e sua estrutura neurológica.</w:t>
      </w:r>
    </w:p>
    <w:p w14:paraId="22D30A9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Em outras palavras, brincar é algo muito sério quando levamos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em conta o esforço e o compromisso radical em possibilitar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o pleno desenvolvimento de cada bebê ou de cada criança.</w:t>
      </w:r>
    </w:p>
    <w:p w14:paraId="15495E4E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(BETESON, 1972; BENJAMIM, 1984; KISHIMOTO, 2002; PIAGET,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1978; VYGOTSKY, 1984; SIAULYS, 2005).</w:t>
      </w:r>
    </w:p>
    <w:p w14:paraId="3AB392F4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lastRenderedPageBreak/>
        <w:t>A brincadeira é – sem dúvida – a atividade infantil por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excelência. É por meio da brincadeira que as crianças podem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acessar e interpretar sentidos e produzir significados para 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interações que estabelece com o mundo e com os outros. É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pelo caminho da brincadeira que ela confronta suas hipóteses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expectativas sobre como o mundo funciona e reorganiza seus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esquemas motores e cognitivos, bem como a qualidade e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diversificação de seu repertório afetivo-relacional.</w:t>
      </w:r>
    </w:p>
    <w:p w14:paraId="16197276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Assim, o fato de uma instituição que atende crianças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pequenas pretender afirmar-se como não educacional porque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se dedica “apenas” a atividades lúdicas e recreativas é um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indicativo que deve colocar a fiscalização em posição de alerta.</w:t>
      </w:r>
    </w:p>
    <w:p w14:paraId="6948C7D8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O direito ao brincar e à brincadeira é conexo ao direito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humano à educação para as crianças pequenas. Não deveríamos permitir que eles fossem interpretados como autônomos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independentes. Quem se dispõe a prestar serviços destinados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às crianças pequenas não pode cometer esse tipo de equívoco,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sob pena de colocar em risco aspectos centrais do desenvolvimento humano e, como nos lembra o Parecer CNE/CEB 22/98:</w:t>
      </w:r>
    </w:p>
    <w:p w14:paraId="2827A567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“A presença, nestas instituições, de adultos sem qualificação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apropriada para o trabalho de cuidado e educação, a ausência de propostas pedagógicas e alto grau de improvisação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descompromisso com os direitos e necessidades das crianças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 suas famílias exigem atenção e ação responsáveis por parte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Secretarias e Conselhos de Educação, especialmente 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municipais”.</w:t>
      </w:r>
    </w:p>
    <w:p w14:paraId="14012488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Justamente por reconhecerem esse compromisso é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alguns sistemas de ensino têm se esforçado para, inclusive, criar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regulamentação específica para tornar explícita a pertença dos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chamados serviços de recreação infantil ao campo regulatório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da política educacional. A título de exemplo, destacamos 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esforço do município de Santa Clara do Sul que, a partir de um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debate amplo com a sociedade logrou êxito em sancionar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Lei Municipal nº 2611/2021, que “estabelece a implantação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normas para abertura, funcionamento e fiscalização de pessoas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físicas e jurídicas que exercem atividade de cuidador, bem como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centros de recreação infantil privados”. O parágrafo 3º do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Inciso IX do artigo 7º da referida lei determina que os centros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recreação infantil estão sujeitos “à fiscalização da Vigilância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Sanitária, Fiscalização Fazendária, Fiscalização do Conselho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Municipal de Educação e Fiscalização pelo Conselho Tutelar,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Ministério Público, Bombeiros e outros órgão ou entidades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pertinentes” (grifo nosso).</w:t>
      </w:r>
    </w:p>
    <w:p w14:paraId="0AE32D28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Evidentemente, as crianças não brincam apenas nos espaços institucionais que desenhamos para cuidar e educar. 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 brincam também livremente: na rua, em suas casas,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nos espaços religiosos que frequentam com suas famílias, nos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parques espalhados pela cidade. Todavia, a distinção fundamental que desejamos explicitar é que, quando um agente econômico decide criar um espaço institucional em que presta um serviço de cuidado/educação, compromete-se, ato contínuo, com 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planejamento cuidadoso e intencional de situações e ambientes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qualidade que provoquem criativamente e permitam às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 vivências e experiências potentes, que estimulem seu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desenvolvimento integral. Assim, tais espaços devem ser lidos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interpretados também na sua dimensão educativa/pedagógica.</w:t>
      </w:r>
      <w:r>
        <w:rPr>
          <w:rFonts w:ascii="Arial" w:hAnsi="Arial" w:cs="Arial"/>
        </w:rPr>
        <w:t xml:space="preserve"> </w:t>
      </w:r>
    </w:p>
    <w:p w14:paraId="7FA2CDCF" w14:textId="77777777" w:rsidR="00AB7915" w:rsidRDefault="00AB7915" w:rsidP="00AB7915">
      <w:pPr>
        <w:spacing w:after="0"/>
        <w:jc w:val="both"/>
        <w:rPr>
          <w:rFonts w:ascii="Arial" w:hAnsi="Arial" w:cs="Arial"/>
          <w:b/>
          <w:bCs/>
        </w:rPr>
      </w:pPr>
    </w:p>
    <w:p w14:paraId="48481067" w14:textId="23BE7B68" w:rsidR="00AB7915" w:rsidRDefault="00AB7915" w:rsidP="00AB7915">
      <w:pPr>
        <w:spacing w:after="0"/>
        <w:jc w:val="both"/>
        <w:rPr>
          <w:rFonts w:ascii="Arial" w:hAnsi="Arial" w:cs="Arial"/>
          <w:b/>
          <w:bCs/>
        </w:rPr>
      </w:pPr>
      <w:r w:rsidRPr="007502B3">
        <w:rPr>
          <w:rFonts w:ascii="Arial" w:hAnsi="Arial" w:cs="Arial"/>
          <w:b/>
          <w:bCs/>
        </w:rPr>
        <w:t>3. Recomendação</w:t>
      </w:r>
    </w:p>
    <w:p w14:paraId="5D910C56" w14:textId="77777777" w:rsidR="00AB7915" w:rsidRPr="007502B3" w:rsidRDefault="00AB7915" w:rsidP="00AB7915">
      <w:pPr>
        <w:spacing w:after="0"/>
        <w:jc w:val="both"/>
        <w:rPr>
          <w:rFonts w:ascii="Arial" w:hAnsi="Arial" w:cs="Arial"/>
          <w:b/>
          <w:bCs/>
        </w:rPr>
      </w:pPr>
    </w:p>
    <w:p w14:paraId="0FAA1417" w14:textId="2B22AA87" w:rsidR="00AB7915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Considerando os elementos apresentados e com base na:</w:t>
      </w:r>
      <w:r>
        <w:rPr>
          <w:rFonts w:ascii="Arial" w:hAnsi="Arial" w:cs="Arial"/>
        </w:rPr>
        <w:t xml:space="preserve"> </w:t>
      </w:r>
    </w:p>
    <w:p w14:paraId="0AD1739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* Constituição Federal que determina a prioridade absoluta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na defesa dos direitos da criança e do adolescente, positivada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no artigo 227;</w:t>
      </w:r>
    </w:p>
    <w:p w14:paraId="204B913E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* Lei Federal nº 8.069/1990, que dispõe sobre o Estatuto 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 e do Adolescente – ECA, especialmente em seus artigos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7º, 53 a 59 e 70;</w:t>
      </w:r>
    </w:p>
    <w:p w14:paraId="0E0FABE7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* Lei Federal nº 9.394/1996, que estabelece Diretrizes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Bases da Educação Nacional – LDB e, particularmente em seus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artigos 29, 30 e 31 delimita parâmetros para educação infantil,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primeira etapa da educação básica;</w:t>
      </w:r>
    </w:p>
    <w:p w14:paraId="0A426F2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* Lei Municipal nº 16.710/2017, que dispõe sobre princípios para a elaboração e implementação das políticas públicas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pela primeira infância no Munícipio de São Paulo e sobre 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Plano Municipal pela Primeira Infância;</w:t>
      </w:r>
    </w:p>
    <w:p w14:paraId="31ADC69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lastRenderedPageBreak/>
        <w:t>* A Resolução CME 01/2018 - Normas para Autorização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Funcionamento e Supervisão de Unidades Privadas de Educação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Infantil, por se tratar de serviço que não atende as características para ser incluído como Unidade do Sistema Municipal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Ensino,</w:t>
      </w:r>
    </w:p>
    <w:p w14:paraId="72A75508" w14:textId="77777777" w:rsidR="00AB7915" w:rsidRPr="007502B3" w:rsidRDefault="00AB7915" w:rsidP="00AB7915">
      <w:pPr>
        <w:spacing w:after="0"/>
        <w:jc w:val="both"/>
        <w:rPr>
          <w:rFonts w:ascii="Arial" w:hAnsi="Arial" w:cs="Arial"/>
          <w:b/>
          <w:bCs/>
        </w:rPr>
      </w:pPr>
      <w:r w:rsidRPr="007502B3">
        <w:rPr>
          <w:rFonts w:ascii="Arial" w:hAnsi="Arial" w:cs="Arial"/>
          <w:b/>
          <w:bCs/>
        </w:rPr>
        <w:t>RECOMENDAMOS QUE:</w:t>
      </w:r>
    </w:p>
    <w:p w14:paraId="18760221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1. As Diretorias Regionais de Educação continuem acolhendo as denúncias, apresentadas pelos munícipes, sobre eventual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funcionamento irregular de serviços que, adotando nomenclaturas diversificadas, atendem bebês e crianças de 0 a 5 anos,</w:t>
      </w:r>
    </w:p>
    <w:p w14:paraId="023C66F6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como forma de garantir que o poder público municipal tome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conhecimento de possíveis situações de violação dos direitos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das crianças paulistanas;</w:t>
      </w:r>
    </w:p>
    <w:p w14:paraId="62469CF8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2. Ao receber denúncias desse tipo, as Diretorias Regionais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Educação devem assumir os procedimentos necessários para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investigar se o serviço/instituição atende crianças de 0 a 3 anos,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crianças de 4 e 5 anos ou crianças de 0 a 5 anos de idade;</w:t>
      </w:r>
    </w:p>
    <w:p w14:paraId="4A00B96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3. Nos casos em que a instituição atender crianças de 0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5 anos de idade, em caráter continuado, em períodos/rotinas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regulares e com protocolos que se assemelhem às atividades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cuidado/educação desenvolvidas nas creches e pré-escolas, 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Diretoria Regional de Educação deve informar à entidade prestadora do serviço, a necessidade de apresentar documentação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comprobatória de sua classificação econômica como instituição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educação infantil – creche ou pré-escola - explicitando que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este é um dos documentos obrigatórios para o início do processo de autorização de funcionamento, na forma da Resolução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CME nº 01/2018.</w:t>
      </w:r>
    </w:p>
    <w:p w14:paraId="18D47C35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4. Caso haja, por parte da prestadora de serviço, recusa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em proceder à regularização de seu funcionamento ou caso 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prazos estabelecidos para a regularização não sejam cumpridos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pela entidade prestadora de serviço, a Diretoria Regional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Educação deve encaminhar o processo à Subprefeitura correspondente para que sejam assumidos os encaminhamentos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 xml:space="preserve">definidos na Portaria </w:t>
      </w:r>
      <w:proofErr w:type="spellStart"/>
      <w:r w:rsidRPr="00DB0399">
        <w:rPr>
          <w:rFonts w:ascii="Arial" w:hAnsi="Arial" w:cs="Arial"/>
        </w:rPr>
        <w:t>Intersecretarial</w:t>
      </w:r>
      <w:proofErr w:type="spellEnd"/>
      <w:r w:rsidRPr="00DB0399">
        <w:rPr>
          <w:rFonts w:ascii="Arial" w:hAnsi="Arial" w:cs="Arial"/>
        </w:rPr>
        <w:t xml:space="preserve"> – SME/SMSP nº 07/2008.</w:t>
      </w:r>
    </w:p>
    <w:p w14:paraId="2AADB90C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5. Especificamente, nos casos em que a instituição atender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exclusivamente crianças de 4 e 5 anos de idade e declare realizar esse atendimento sob a classificação de atividades complementares, a Diretoria Regional de Educação deverá solicitar à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mantenedora as informações específicas sobre a matrícula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cada criança em instituição autorizada de educação infantil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orientá-la a manter documentação comprobatória dessa matrícula no ano letivo corrente;</w:t>
      </w:r>
    </w:p>
    <w:p w14:paraId="65A0D940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6. Nos casos em que se constatar que as atividades e serviços prestados na instituição não possuem caráter continuado,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nem desenvolvem rotinas, protocolos ou atividades de cuidado/educação que se assemelhem àqueles praticados nas creches 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pré-escolas, as Diretorias Regionais de Educação devem:</w:t>
      </w:r>
      <w:r>
        <w:rPr>
          <w:rFonts w:ascii="Arial" w:hAnsi="Arial" w:cs="Arial"/>
        </w:rPr>
        <w:t xml:space="preserve"> </w:t>
      </w:r>
    </w:p>
    <w:p w14:paraId="66BB488F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a) elaborar relatório circunstanciado e encaminhá-lo, concomitantemente, ao Comitê Gestor do Plano da Primeira Infância da Cidade de São Paulo, ao Conselho Tutelar, à Unidade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Vigilância Sanitária e à Subprefeitura correspondente, informando sobre a denúncia apresentada e explicitando que, por</w:t>
      </w:r>
    </w:p>
    <w:p w14:paraId="39DB8DC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se tratar de serviço que não atende às características para ser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incluído como Unidade do Sistema Municipal de Ensino, não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concerne à fiscalização e supervisão da Secretaria Municipal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de Educação, a avaliação sobre a regularidade de seu funcionamento. A fiscalização dos serviços ofertados escapa da alçada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da Diretoria Regional de Educação.</w:t>
      </w:r>
    </w:p>
    <w:p w14:paraId="36DA3653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b) informar aos órgãos assinalados na alínea (a) que o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tratamento da denúncia recebida na Diretoria Regional 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Educação alcançou sua terminalidade na instância administrativa da Secretaria Municipal de Educação e que a continuidade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das tratativas de acompanhamento, fiscalização e supervisão</w:t>
      </w:r>
    </w:p>
    <w:p w14:paraId="6C62E8BD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do funcionamento devem ser assumidas pela Subprefeitura</w:t>
      </w:r>
      <w:r>
        <w:rPr>
          <w:rFonts w:ascii="Arial" w:hAnsi="Arial" w:cs="Arial"/>
        </w:rPr>
        <w:t xml:space="preserve"> </w:t>
      </w:r>
      <w:r w:rsidRPr="00DB0399">
        <w:rPr>
          <w:rFonts w:ascii="Arial" w:hAnsi="Arial" w:cs="Arial"/>
        </w:rPr>
        <w:t>correspondente.</w:t>
      </w:r>
    </w:p>
    <w:p w14:paraId="49159006" w14:textId="77777777" w:rsidR="00AB7915" w:rsidRDefault="00AB7915" w:rsidP="00AB7915">
      <w:pPr>
        <w:spacing w:after="0"/>
        <w:jc w:val="both"/>
        <w:rPr>
          <w:rFonts w:ascii="Arial" w:hAnsi="Arial" w:cs="Arial"/>
          <w:b/>
          <w:bCs/>
        </w:rPr>
      </w:pPr>
    </w:p>
    <w:p w14:paraId="29878BA7" w14:textId="5B43205A" w:rsidR="00AB7915" w:rsidRDefault="00AB7915" w:rsidP="00AB7915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>4. DELIBERAÇÃO DO PLENÁRIO</w:t>
      </w:r>
    </w:p>
    <w:p w14:paraId="393D054C" w14:textId="77777777" w:rsidR="00AB7915" w:rsidRPr="00FB3F2A" w:rsidRDefault="00AB7915" w:rsidP="00AB7915">
      <w:pPr>
        <w:spacing w:after="0"/>
        <w:jc w:val="both"/>
        <w:rPr>
          <w:rFonts w:ascii="Arial" w:hAnsi="Arial" w:cs="Arial"/>
          <w:b/>
          <w:bCs/>
        </w:rPr>
      </w:pPr>
    </w:p>
    <w:p w14:paraId="50055C36" w14:textId="77777777" w:rsidR="00AB7915" w:rsidRPr="00DB0399" w:rsidRDefault="00AB7915" w:rsidP="00AB7915">
      <w:pPr>
        <w:spacing w:after="0"/>
        <w:jc w:val="both"/>
        <w:rPr>
          <w:rFonts w:ascii="Arial" w:hAnsi="Arial" w:cs="Arial"/>
        </w:rPr>
      </w:pPr>
      <w:r w:rsidRPr="00DB0399">
        <w:rPr>
          <w:rFonts w:ascii="Arial" w:hAnsi="Arial" w:cs="Arial"/>
        </w:rPr>
        <w:t>O Conselho Municipal de Educação aprova, por unanimidade, a presente Recomendação.</w:t>
      </w:r>
    </w:p>
    <w:p w14:paraId="421BBFE7" w14:textId="77777777" w:rsidR="00AB7915" w:rsidRDefault="00AB7915" w:rsidP="00AB791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AF5596" w14:textId="7500FDF6" w:rsidR="00AB7915" w:rsidRPr="00FB3F2A" w:rsidRDefault="00AB7915" w:rsidP="00AB79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B3F2A">
        <w:rPr>
          <w:rFonts w:ascii="Arial" w:hAnsi="Arial" w:cs="Arial"/>
          <w:sz w:val="18"/>
          <w:szCs w:val="18"/>
        </w:rPr>
        <w:t>Sala do Plenário, em 08 de dezembro de 2022.</w:t>
      </w:r>
    </w:p>
    <w:p w14:paraId="797350C0" w14:textId="77777777" w:rsidR="00AB7915" w:rsidRPr="00FB3F2A" w:rsidRDefault="00AB7915" w:rsidP="00AB79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B3F2A">
        <w:rPr>
          <w:rFonts w:ascii="Arial" w:hAnsi="Arial" w:cs="Arial"/>
          <w:sz w:val="18"/>
          <w:szCs w:val="18"/>
        </w:rPr>
        <w:t>________________________________________</w:t>
      </w:r>
    </w:p>
    <w:p w14:paraId="57EDE04B" w14:textId="77777777" w:rsidR="00AB7915" w:rsidRPr="00FB3F2A" w:rsidRDefault="00AB7915" w:rsidP="00AB79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B3F2A">
        <w:rPr>
          <w:rFonts w:ascii="Arial" w:hAnsi="Arial" w:cs="Arial"/>
          <w:sz w:val="18"/>
          <w:szCs w:val="18"/>
        </w:rPr>
        <w:lastRenderedPageBreak/>
        <w:t>Conselheira Rose Neubauer</w:t>
      </w:r>
    </w:p>
    <w:p w14:paraId="5BC2718A" w14:textId="77777777" w:rsidR="00AB7915" w:rsidRPr="00FB3F2A" w:rsidRDefault="00AB7915" w:rsidP="00AB791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B3F2A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61DD1A39" w14:textId="4D8AA23C" w:rsidR="00403E93" w:rsidRPr="00AB7915" w:rsidRDefault="00403E93" w:rsidP="00AB7915">
      <w:pPr>
        <w:spacing w:after="0"/>
        <w:jc w:val="both"/>
        <w:rPr>
          <w:rFonts w:ascii="Arial" w:hAnsi="Arial" w:cs="Arial"/>
        </w:rPr>
      </w:pPr>
    </w:p>
    <w:sectPr w:rsidR="00403E93" w:rsidRPr="00AB7915" w:rsidSect="00AB79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15"/>
    <w:rsid w:val="00403E93"/>
    <w:rsid w:val="00A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9B25"/>
  <w15:chartTrackingRefBased/>
  <w15:docId w15:val="{7550BC9E-036B-427C-8396-A24C0DB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3784</Words>
  <Characters>20437</Characters>
  <Application>Microsoft Office Word</Application>
  <DocSecurity>0</DocSecurity>
  <Lines>170</Lines>
  <Paragraphs>48</Paragraphs>
  <ScaleCrop>false</ScaleCrop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2022-12-20T11:29:00Z</dcterms:created>
  <dcterms:modified xsi:type="dcterms:W3CDTF">2022-12-20T11:32:00Z</dcterms:modified>
</cp:coreProperties>
</file>