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1225" w14:textId="697348AF" w:rsidR="00531631" w:rsidRDefault="00531631" w:rsidP="005316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29/12/2021 – p. 05</w:t>
      </w:r>
    </w:p>
    <w:p w14:paraId="06B85A70" w14:textId="69722DA3" w:rsidR="00531631" w:rsidRDefault="00531631" w:rsidP="00531631">
      <w:pPr>
        <w:spacing w:after="0"/>
        <w:jc w:val="both"/>
        <w:rPr>
          <w:rFonts w:ascii="Arial" w:hAnsi="Arial" w:cs="Arial"/>
        </w:rPr>
      </w:pPr>
    </w:p>
    <w:p w14:paraId="2BF8E89E" w14:textId="6236CEFB" w:rsidR="00531631" w:rsidRDefault="00531631" w:rsidP="0053163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36AF4">
        <w:rPr>
          <w:rFonts w:ascii="Arial" w:hAnsi="Arial" w:cs="Arial"/>
          <w:b/>
          <w:bCs/>
        </w:rPr>
        <w:t>DECRETO Nº 60.967, DE 28 DE DEZEMBRO DE 2021</w:t>
      </w:r>
    </w:p>
    <w:p w14:paraId="6BAF5ACF" w14:textId="77777777" w:rsidR="00531631" w:rsidRPr="00A36AF4" w:rsidRDefault="00531631" w:rsidP="0053163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00C101" w14:textId="413B990E" w:rsidR="00531631" w:rsidRDefault="00531631" w:rsidP="00531631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36AF4">
        <w:rPr>
          <w:rFonts w:ascii="Arial" w:hAnsi="Arial" w:cs="Arial"/>
          <w:b/>
          <w:bCs/>
          <w:i/>
          <w:iCs/>
        </w:rPr>
        <w:t>Dispõe sobre o pagamento do Prêmio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36AF4">
        <w:rPr>
          <w:rFonts w:ascii="Arial" w:hAnsi="Arial" w:cs="Arial"/>
          <w:b/>
          <w:bCs/>
          <w:i/>
          <w:iCs/>
        </w:rPr>
        <w:t>Desempenho Educacional, instituído pela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36AF4">
        <w:rPr>
          <w:rFonts w:ascii="Arial" w:hAnsi="Arial" w:cs="Arial"/>
          <w:b/>
          <w:bCs/>
          <w:i/>
          <w:iCs/>
        </w:rPr>
        <w:t>Lei nº 14.938, de 30 de junho de 2009,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36AF4">
        <w:rPr>
          <w:rFonts w:ascii="Arial" w:hAnsi="Arial" w:cs="Arial"/>
          <w:b/>
          <w:bCs/>
          <w:i/>
          <w:iCs/>
        </w:rPr>
        <w:t>para o exercício de 2021.</w:t>
      </w:r>
    </w:p>
    <w:p w14:paraId="266B909E" w14:textId="77777777" w:rsidR="00531631" w:rsidRPr="00A36AF4" w:rsidRDefault="00531631" w:rsidP="00531631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42F90167" w14:textId="0797D1C5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uso das atribuições que lhe são conferidas por lei,</w:t>
      </w:r>
    </w:p>
    <w:p w14:paraId="66573A45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65B7B58A" w14:textId="3B6362C0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D E C R E T A:</w:t>
      </w:r>
    </w:p>
    <w:p w14:paraId="6ED038FD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53BC6944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1º O Prêmio de Desempenho Educacional, instituído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pela Lei nº 14.938, de 30 de junho de 2009, relativo ao exercício de 2021, terá como base de cálculo o valor de R$ 6.000,00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(seis mil reais), e será concedido aos servidores lotados e em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exercício nas unidades da Secretaria Municipal de Educação, de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acordo com as disposições deste decreto.</w:t>
      </w:r>
    </w:p>
    <w:p w14:paraId="0A4BF076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7E1F3263" w14:textId="45272890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2º Farão jus ao pagamento do Prêmio de Desempenho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Educacional:</w:t>
      </w:r>
    </w:p>
    <w:p w14:paraId="0DDCF442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 - </w:t>
      </w:r>
      <w:proofErr w:type="gramStart"/>
      <w:r w:rsidRPr="006B057A">
        <w:rPr>
          <w:rFonts w:ascii="Arial" w:hAnsi="Arial" w:cs="Arial"/>
        </w:rPr>
        <w:t>os</w:t>
      </w:r>
      <w:proofErr w:type="gramEnd"/>
      <w:r w:rsidRPr="006B057A">
        <w:rPr>
          <w:rFonts w:ascii="Arial" w:hAnsi="Arial" w:cs="Arial"/>
        </w:rPr>
        <w:t xml:space="preserve"> servidores lotados nas unidades da Secretaria Municipal de Educação que iniciaram exercício ou reassumiram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suas funções até 31 de maio de 2021 e que permaneçam em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exercício até o término do período letivo;</w:t>
      </w:r>
    </w:p>
    <w:p w14:paraId="709337DA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II - </w:t>
      </w:r>
      <w:proofErr w:type="gramStart"/>
      <w:r w:rsidRPr="006B057A">
        <w:rPr>
          <w:rFonts w:ascii="Arial" w:hAnsi="Arial" w:cs="Arial"/>
        </w:rPr>
        <w:t>os</w:t>
      </w:r>
      <w:proofErr w:type="gramEnd"/>
      <w:r w:rsidRPr="006B057A">
        <w:rPr>
          <w:rFonts w:ascii="Arial" w:hAnsi="Arial" w:cs="Arial"/>
        </w:rPr>
        <w:t xml:space="preserve"> Professores de Educação Infantil e Auxiliares de Desenvolvimento Infantil em exercício nos Centros de Convivência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Infantil/</w:t>
      </w:r>
      <w:proofErr w:type="spellStart"/>
      <w:r w:rsidRPr="006B057A">
        <w:rPr>
          <w:rFonts w:ascii="Arial" w:hAnsi="Arial" w:cs="Arial"/>
        </w:rPr>
        <w:t>CCIs</w:t>
      </w:r>
      <w:proofErr w:type="spellEnd"/>
      <w:r w:rsidRPr="006B057A">
        <w:rPr>
          <w:rFonts w:ascii="Arial" w:hAnsi="Arial" w:cs="Arial"/>
        </w:rPr>
        <w:t>, Centros Integrados de Proteção à Criança/</w:t>
      </w:r>
      <w:proofErr w:type="spellStart"/>
      <w:r w:rsidRPr="006B057A">
        <w:rPr>
          <w:rFonts w:ascii="Arial" w:hAnsi="Arial" w:cs="Arial"/>
        </w:rPr>
        <w:t>CIPs</w:t>
      </w:r>
      <w:proofErr w:type="spellEnd"/>
      <w:r w:rsidRPr="006B057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 xml:space="preserve">unidades equivalentes, desde que exerçam as atividades próprias do cargo que </w:t>
      </w:r>
      <w:proofErr w:type="spellStart"/>
      <w:r w:rsidRPr="006B057A">
        <w:rPr>
          <w:rFonts w:ascii="Arial" w:hAnsi="Arial" w:cs="Arial"/>
        </w:rPr>
        <w:t>titularizam</w:t>
      </w:r>
      <w:proofErr w:type="spellEnd"/>
      <w:r w:rsidRPr="006B057A">
        <w:rPr>
          <w:rFonts w:ascii="Arial" w:hAnsi="Arial" w:cs="Arial"/>
        </w:rPr>
        <w:t xml:space="preserve"> e tenham iniciado exercício ou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reassumido suas funções até 31 de maio de 2021.</w:t>
      </w:r>
    </w:p>
    <w:p w14:paraId="2D652CCE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5AD2A905" w14:textId="1E5491AC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3º O valor individual do Prêmio de Desempenho Educacional será calculado, observadas as jornadas de trabalho 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considerando o desempenho das unidades da Secretaria Municipal de Educação e a assiduidade do servidor.</w:t>
      </w:r>
    </w:p>
    <w:p w14:paraId="2102057F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5EAB0459" w14:textId="1D74B2F4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4º O desempenho das unidades da Secretaria Municipal de Educação será aferido pelo índice de abandono, participação na Prova São Paulo e ocupação escolar, na seguinte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conformidade:</w:t>
      </w:r>
    </w:p>
    <w:p w14:paraId="61D2BADF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I - Unidades Educacionais de Ensino Fundamental e Fundamental e Médio: determinado pela relação existente entre 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número de estudantes efetivamente matriculados e o número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de desistentes; e entre o número de estudantes efetivamente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matriculados e o número de participantes na Prova São Paulo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mencionadas no “caput” deste artigo, de acordo com o previsto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no Anexo II deste decreto;</w:t>
      </w:r>
    </w:p>
    <w:p w14:paraId="6C57F678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II - Unidades Educacionais de Educação Infantil e Centros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Integrados de Educação de Jovens e Adultos/CIEJA: determinado pela relação existente entre a capacidade de atendimento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da unidade o número, respectivamente, de crianças e jovens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efetivamente matriculados, de acordo com o previsto no Anexo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III deste decreto;</w:t>
      </w:r>
    </w:p>
    <w:p w14:paraId="0597444C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III - Diretorias Regionais de Educação: valor médio de suas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unidades educacionais;</w:t>
      </w:r>
    </w:p>
    <w:p w14:paraId="1723BDE7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IV - CEU Gestão, </w:t>
      </w:r>
      <w:proofErr w:type="spellStart"/>
      <w:r w:rsidRPr="006B057A">
        <w:rPr>
          <w:rFonts w:ascii="Arial" w:hAnsi="Arial" w:cs="Arial"/>
        </w:rPr>
        <w:t>EMEBSs</w:t>
      </w:r>
      <w:proofErr w:type="spellEnd"/>
      <w:r w:rsidRPr="006B057A">
        <w:rPr>
          <w:rFonts w:ascii="Arial" w:hAnsi="Arial" w:cs="Arial"/>
        </w:rPr>
        <w:t>, Centro Municipal de Capacitação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 Treinamento – CMCT: valor obtido pela respectiva Diretoria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Regional de Educação;</w:t>
      </w:r>
    </w:p>
    <w:p w14:paraId="5138F36D" w14:textId="77777777" w:rsidR="00531631" w:rsidRPr="006B057A" w:rsidRDefault="00531631" w:rsidP="00531631">
      <w:pPr>
        <w:tabs>
          <w:tab w:val="left" w:pos="7096"/>
        </w:tabs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V - Órgãos centrais: valor médio obtido pelas Diretorias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Regionais de Educação.</w:t>
      </w:r>
    </w:p>
    <w:p w14:paraId="10DF7265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VI - </w:t>
      </w:r>
      <w:proofErr w:type="spellStart"/>
      <w:r w:rsidRPr="006B057A">
        <w:rPr>
          <w:rFonts w:ascii="Arial" w:hAnsi="Arial" w:cs="Arial"/>
        </w:rPr>
        <w:t>CCIs</w:t>
      </w:r>
      <w:proofErr w:type="spellEnd"/>
      <w:r w:rsidRPr="006B057A">
        <w:rPr>
          <w:rFonts w:ascii="Arial" w:hAnsi="Arial" w:cs="Arial"/>
        </w:rPr>
        <w:t xml:space="preserve"> e </w:t>
      </w:r>
      <w:proofErr w:type="spellStart"/>
      <w:r w:rsidRPr="006B057A">
        <w:rPr>
          <w:rFonts w:ascii="Arial" w:hAnsi="Arial" w:cs="Arial"/>
        </w:rPr>
        <w:t>CIPs</w:t>
      </w:r>
      <w:proofErr w:type="spellEnd"/>
      <w:r w:rsidRPr="006B057A">
        <w:rPr>
          <w:rFonts w:ascii="Arial" w:hAnsi="Arial" w:cs="Arial"/>
        </w:rPr>
        <w:t>: determinado pela relação existente entre 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capacidade de atendimento da unidade e o número de crianças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efetivamente atendidas.</w:t>
      </w:r>
    </w:p>
    <w:p w14:paraId="67343F57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§ 1º Para efeito de apuração do índice de ocupação escolar,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 xml:space="preserve">serão considerados os dados cadastrados no Sistema Escola </w:t>
      </w:r>
      <w:proofErr w:type="spellStart"/>
      <w:r w:rsidRPr="006B057A"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B057A">
        <w:rPr>
          <w:rFonts w:ascii="Arial" w:hAnsi="Arial" w:cs="Arial"/>
        </w:rPr>
        <w:t>Line</w:t>
      </w:r>
      <w:proofErr w:type="spellEnd"/>
      <w:r w:rsidRPr="006B057A">
        <w:rPr>
          <w:rFonts w:ascii="Arial" w:hAnsi="Arial" w:cs="Arial"/>
        </w:rPr>
        <w:t xml:space="preserve"> na data base de 30 de novembro de 2021, observadas as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especificidades de cada unidade educacional;</w:t>
      </w:r>
    </w:p>
    <w:p w14:paraId="5A6EE4B7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§ 2º A apuração dos índices de abandono será realizada 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 xml:space="preserve">partir dos dados cadastrados no Sistema Escola </w:t>
      </w:r>
      <w:proofErr w:type="spellStart"/>
      <w:r w:rsidRPr="006B057A">
        <w:rPr>
          <w:rFonts w:ascii="Arial" w:hAnsi="Arial" w:cs="Arial"/>
        </w:rPr>
        <w:t>On</w:t>
      </w:r>
      <w:proofErr w:type="spellEnd"/>
      <w:r w:rsidRPr="006B057A">
        <w:rPr>
          <w:rFonts w:ascii="Arial" w:hAnsi="Arial" w:cs="Arial"/>
        </w:rPr>
        <w:t xml:space="preserve"> </w:t>
      </w:r>
      <w:proofErr w:type="spellStart"/>
      <w:r w:rsidRPr="006B057A">
        <w:rPr>
          <w:rFonts w:ascii="Arial" w:hAnsi="Arial" w:cs="Arial"/>
        </w:rPr>
        <w:t>Line</w:t>
      </w:r>
      <w:proofErr w:type="spellEnd"/>
      <w:r w:rsidRPr="006B057A">
        <w:rPr>
          <w:rFonts w:ascii="Arial" w:hAnsi="Arial" w:cs="Arial"/>
        </w:rPr>
        <w:t xml:space="preserve"> na data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base de 31 de dezembro de 2021;</w:t>
      </w:r>
    </w:p>
    <w:p w14:paraId="6B4920D6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§ 3º Excepcionalmente, para o Prêmio de Desempenho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Educacional referente ao exercício de 2021 não haverá 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desconto decorrente da aferição do índice de participação da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Prova São Paulo.</w:t>
      </w:r>
    </w:p>
    <w:p w14:paraId="7F731CB1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44E32DD6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6F7DA235" w14:textId="7E20A191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lastRenderedPageBreak/>
        <w:t>Art. 5º Para fins de apuração da assiduidade, serão considerados os dias relativos a:</w:t>
      </w:r>
    </w:p>
    <w:p w14:paraId="41C4BDD2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 - </w:t>
      </w:r>
      <w:proofErr w:type="gramStart"/>
      <w:r w:rsidRPr="006B057A">
        <w:rPr>
          <w:rFonts w:ascii="Arial" w:hAnsi="Arial" w:cs="Arial"/>
        </w:rPr>
        <w:t>afastamentos</w:t>
      </w:r>
      <w:proofErr w:type="gramEnd"/>
      <w:r w:rsidRPr="006B057A">
        <w:rPr>
          <w:rFonts w:ascii="Arial" w:hAnsi="Arial" w:cs="Arial"/>
        </w:rPr>
        <w:t xml:space="preserve"> previstos nos incisos I a IV e VI a IX do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artigo 64 da Lei nº 8.989, de 29 de outubro de 1979;</w:t>
      </w:r>
    </w:p>
    <w:p w14:paraId="33B2F0CA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II - </w:t>
      </w:r>
      <w:proofErr w:type="gramStart"/>
      <w:r w:rsidRPr="006B057A">
        <w:rPr>
          <w:rFonts w:ascii="Arial" w:hAnsi="Arial" w:cs="Arial"/>
        </w:rPr>
        <w:t>licença-adoção</w:t>
      </w:r>
      <w:proofErr w:type="gramEnd"/>
      <w:r w:rsidRPr="006B057A">
        <w:rPr>
          <w:rFonts w:ascii="Arial" w:hAnsi="Arial" w:cs="Arial"/>
        </w:rPr>
        <w:t>, licença guarda e licença paternidade.</w:t>
      </w:r>
    </w:p>
    <w:p w14:paraId="72CC4481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Parágrafo único. As faltas abonadas, justificadas, injustificadas, licenciamentos e outras ocorrências não previstas nos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incisos deste artigo, ainda que considerados como de efetivo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exercício, serão computadas como ausências para os fins deste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decreto.</w:t>
      </w:r>
    </w:p>
    <w:p w14:paraId="5157B651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216D01E0" w14:textId="65999E38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6º A assiduidade será calculada pela apuração das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ausências referente ao período de 1º de agosto de 2021 a 31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de dezembro de 2021, nos termos do artigo 5º deste decreto, 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atribuição de percentual previsto no Anexo I.</w:t>
      </w:r>
    </w:p>
    <w:p w14:paraId="107C4252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6DEDAF56" w14:textId="2CFA1173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7º O valor do Prêmio de Desempenho Educacional será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pago até o mês de abril de 2022 na forma prevista no artigo 3º,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na seguinte proporção:</w:t>
      </w:r>
    </w:p>
    <w:p w14:paraId="526C6296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 - </w:t>
      </w:r>
      <w:proofErr w:type="gramStart"/>
      <w:r w:rsidRPr="006B057A">
        <w:rPr>
          <w:rFonts w:ascii="Arial" w:hAnsi="Arial" w:cs="Arial"/>
        </w:rPr>
        <w:t>ao</w:t>
      </w:r>
      <w:proofErr w:type="gramEnd"/>
      <w:r w:rsidRPr="006B057A">
        <w:rPr>
          <w:rFonts w:ascii="Arial" w:hAnsi="Arial" w:cs="Arial"/>
        </w:rPr>
        <w:t xml:space="preserve"> desempenho da unidade apurado nos termos do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artigo 4º deste decreto: 40% (quarenta por cento) do seu valor;</w:t>
      </w:r>
    </w:p>
    <w:p w14:paraId="230F0782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II - </w:t>
      </w:r>
      <w:proofErr w:type="gramStart"/>
      <w:r w:rsidRPr="006B057A">
        <w:rPr>
          <w:rFonts w:ascii="Arial" w:hAnsi="Arial" w:cs="Arial"/>
        </w:rPr>
        <w:t>à</w:t>
      </w:r>
      <w:proofErr w:type="gramEnd"/>
      <w:r w:rsidRPr="006B057A">
        <w:rPr>
          <w:rFonts w:ascii="Arial" w:hAnsi="Arial" w:cs="Arial"/>
        </w:rPr>
        <w:t xml:space="preserve"> assiduidade do servidor apurada nos termos do artigo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5º deste decreto: 60% (sessenta por cento) do seu valor.</w:t>
      </w:r>
    </w:p>
    <w:p w14:paraId="129FD91A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Parágrafo único. Aos servidores que não apresentarem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nenhum registro de ausência no período de 1º de agosto de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2021 a 31 de dezembro de 2021, o percentual fixado no inciso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II deste artigo, corresponderá a 150 (cento e cinquenta por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cento) do seu valor.</w:t>
      </w:r>
    </w:p>
    <w:p w14:paraId="155BD95E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195869E1" w14:textId="0A08F99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8º Os percentuais correspondentes às jornadas serão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os seguintes:</w:t>
      </w:r>
    </w:p>
    <w:p w14:paraId="6FE28F63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I - Jornada Básica do Professor/JB: 50% (cinquenta por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cento) do valor do prêmio;</w:t>
      </w:r>
    </w:p>
    <w:p w14:paraId="61A3C113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II - Jornada Básica do Docente/JBD: 75% (setenta e cinco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por cento) do valor do prêmio;</w:t>
      </w:r>
    </w:p>
    <w:p w14:paraId="6232D655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III - Jornada Especial Integral de Formação/JEIF, Jornada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Básica de 30 (trinta) horas de trabalho semanais/JB 30, Jornada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Básica do Gestor Educacional/ JB 40, Jornada Especial de 40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(quarenta) horas de trabalho semanais/JE 40, e Jornada Básica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de 40 (quarenta) horas de trabalho semanais/JB 40: 100% (cem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por cento) do prêmio.</w:t>
      </w:r>
    </w:p>
    <w:p w14:paraId="53557250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Parágrafo único. Na hipótese de alteração da jornada de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trabalho do docente, será considerada a jornada cumprida por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período igual ou superior a 15 (quinze) dias no mês de dezembro de 2021.</w:t>
      </w:r>
    </w:p>
    <w:p w14:paraId="6CD0E636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100F556F" w14:textId="7FAEB7DF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9º Na hipótese de aposentadoria ou falecimento do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servidor após 30 de junho de 2021, o valor será calculado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proporcionalmente ao tempo de exercício real até a véspera da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data da aposentadoria ou falecimento.</w:t>
      </w:r>
    </w:p>
    <w:p w14:paraId="374D4C28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Parágrafo único. Os aposentados ou falecidos antes de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30/06/2021 não fazem jus ao benefício, em razão do artigo 2º,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II da Lei nº 14.938/2009, que exige 6 (seis) meses de efetivo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exercício para recebimento do prêmio.</w:t>
      </w:r>
    </w:p>
    <w:p w14:paraId="55DBC901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2B6F634A" w14:textId="251C9DBB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10. O Prêmio de Desempenho Educacional não será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devido aos servidores:</w:t>
      </w:r>
    </w:p>
    <w:p w14:paraId="6B40CFAB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 - </w:t>
      </w:r>
      <w:proofErr w:type="gramStart"/>
      <w:r w:rsidRPr="006B057A">
        <w:rPr>
          <w:rFonts w:ascii="Arial" w:hAnsi="Arial" w:cs="Arial"/>
        </w:rPr>
        <w:t>que</w:t>
      </w:r>
      <w:proofErr w:type="gramEnd"/>
      <w:r w:rsidRPr="006B057A">
        <w:rPr>
          <w:rFonts w:ascii="Arial" w:hAnsi="Arial" w:cs="Arial"/>
        </w:rPr>
        <w:t xml:space="preserve"> tenham sido apenados na forma dos artigos 185 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186 da Lei nº 8.989, de 29 de outubro de 1979, no ano a que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se refere o prêmio;</w:t>
      </w:r>
    </w:p>
    <w:p w14:paraId="306BBF65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II - </w:t>
      </w:r>
      <w:proofErr w:type="gramStart"/>
      <w:r w:rsidRPr="006B057A">
        <w:rPr>
          <w:rFonts w:ascii="Arial" w:hAnsi="Arial" w:cs="Arial"/>
        </w:rPr>
        <w:t>que</w:t>
      </w:r>
      <w:proofErr w:type="gramEnd"/>
      <w:r w:rsidRPr="006B057A">
        <w:rPr>
          <w:rFonts w:ascii="Arial" w:hAnsi="Arial" w:cs="Arial"/>
        </w:rPr>
        <w:t xml:space="preserve"> recebam as vantagens pecuniárias previstas no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artigo 10 da Lei nº 14.938, de 2009;</w:t>
      </w:r>
    </w:p>
    <w:p w14:paraId="309A4B4D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III - que recebam a Gratificação por Desempenho de Atividade Social prevista na Lei nº 15.159, de 14 de maio de 2010;</w:t>
      </w:r>
    </w:p>
    <w:p w14:paraId="2A4798FF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IV - </w:t>
      </w:r>
      <w:proofErr w:type="gramStart"/>
      <w:r w:rsidRPr="006B057A">
        <w:rPr>
          <w:rFonts w:ascii="Arial" w:hAnsi="Arial" w:cs="Arial"/>
        </w:rPr>
        <w:t>que</w:t>
      </w:r>
      <w:proofErr w:type="gramEnd"/>
      <w:r w:rsidRPr="006B057A">
        <w:rPr>
          <w:rFonts w:ascii="Arial" w:hAnsi="Arial" w:cs="Arial"/>
        </w:rPr>
        <w:t xml:space="preserve"> recebam a Gratificação de Atividade prevista na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Lei nº 15.364, de 25 de março de 2011;</w:t>
      </w:r>
    </w:p>
    <w:p w14:paraId="17C5482E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V - </w:t>
      </w:r>
      <w:proofErr w:type="gramStart"/>
      <w:r w:rsidRPr="006B057A">
        <w:rPr>
          <w:rFonts w:ascii="Arial" w:hAnsi="Arial" w:cs="Arial"/>
        </w:rPr>
        <w:t>que</w:t>
      </w:r>
      <w:proofErr w:type="gramEnd"/>
      <w:r w:rsidRPr="006B057A">
        <w:rPr>
          <w:rFonts w:ascii="Arial" w:hAnsi="Arial" w:cs="Arial"/>
        </w:rPr>
        <w:t xml:space="preserve"> recebam a Gratificação por Desempenho de Atividade Cultural e Desportiva prevista na Lei nº 15.389, de 1º de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julho de 2011;</w:t>
      </w:r>
    </w:p>
    <w:p w14:paraId="066EC283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 xml:space="preserve">VI - </w:t>
      </w:r>
      <w:proofErr w:type="gramStart"/>
      <w:r w:rsidRPr="006B057A">
        <w:rPr>
          <w:rFonts w:ascii="Arial" w:hAnsi="Arial" w:cs="Arial"/>
        </w:rPr>
        <w:t>que</w:t>
      </w:r>
      <w:proofErr w:type="gramEnd"/>
      <w:r w:rsidRPr="006B057A">
        <w:rPr>
          <w:rFonts w:ascii="Arial" w:hAnsi="Arial" w:cs="Arial"/>
        </w:rPr>
        <w:t xml:space="preserve"> recebam remuneração, gratificação, adicional,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prêmio ou qualquer espécie de vantagem vinculada a produtividade ou desempenho;</w:t>
      </w:r>
    </w:p>
    <w:p w14:paraId="6228DF19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VII - que recebam remuneração por subsídio instituído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pelas Leis nº 16.119, de 13 de janeiro de 2015, nº 16.122, de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13 de janeiro de 2015, nº 16.193, de 5 de maio de 2015, e nº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16.414, de 1º de abril de 2016;</w:t>
      </w:r>
    </w:p>
    <w:p w14:paraId="5503B52C" w14:textId="77777777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VIII - na ocorrência de aposentadoria ou falecimento, ressalvada a situação prevista no artigo 9º deste decreto.</w:t>
      </w:r>
    </w:p>
    <w:p w14:paraId="0982FC0F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0A4A32D4" w14:textId="5A6255D0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11. O Prêmio de Desempenho Educacional não tem natureza salarial ou remuneratória, não se incorpora à remuneração, não deve ser computado para efeito do cálculo do décimo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terceiro salário, férias e aposentadoria, bem como não constitui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base de cálculo da contribuição devida ao Regime Próprio de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Previdência Social do Município de São Paulo – RPPS.</w:t>
      </w:r>
    </w:p>
    <w:p w14:paraId="590C0925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5B8C9A53" w14:textId="010C89B8" w:rsidR="00531631" w:rsidRPr="006B057A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 w:rsidRPr="006B057A">
        <w:rPr>
          <w:rFonts w:ascii="Arial" w:hAnsi="Arial" w:cs="Arial"/>
        </w:rPr>
        <w:t>Art. 12. Este decreto entrará em vigor na data de sua</w:t>
      </w:r>
      <w:r>
        <w:rPr>
          <w:rFonts w:ascii="Arial" w:hAnsi="Arial" w:cs="Arial"/>
        </w:rPr>
        <w:t xml:space="preserve"> </w:t>
      </w:r>
      <w:r w:rsidRPr="006B057A">
        <w:rPr>
          <w:rFonts w:ascii="Arial" w:hAnsi="Arial" w:cs="Arial"/>
        </w:rPr>
        <w:t>publicação.</w:t>
      </w:r>
    </w:p>
    <w:p w14:paraId="32D906E4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093B8B" w14:textId="3DC7BE37" w:rsidR="00531631" w:rsidRPr="003F34E4" w:rsidRDefault="00531631" w:rsidP="005316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34E4">
        <w:rPr>
          <w:rFonts w:ascii="Arial" w:hAnsi="Arial" w:cs="Arial"/>
          <w:sz w:val="18"/>
          <w:szCs w:val="18"/>
        </w:rPr>
        <w:t>PREFEITURA DO MUNICÍPIO DE SÃO PAULO, em 28 de dezembro de 2021, 468º da Fundação de São Paulo.</w:t>
      </w:r>
    </w:p>
    <w:p w14:paraId="493E11B9" w14:textId="77777777" w:rsidR="00531631" w:rsidRPr="003F34E4" w:rsidRDefault="00531631" w:rsidP="005316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34E4">
        <w:rPr>
          <w:rFonts w:ascii="Arial" w:hAnsi="Arial" w:cs="Arial"/>
          <w:sz w:val="18"/>
          <w:szCs w:val="18"/>
        </w:rPr>
        <w:t>RICARDO NUNES, PREFEITO</w:t>
      </w:r>
    </w:p>
    <w:p w14:paraId="6D3AB1F5" w14:textId="77777777" w:rsidR="00531631" w:rsidRPr="003F34E4" w:rsidRDefault="00531631" w:rsidP="005316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34E4">
        <w:rPr>
          <w:rFonts w:ascii="Arial" w:hAnsi="Arial" w:cs="Arial"/>
          <w:sz w:val="18"/>
          <w:szCs w:val="18"/>
        </w:rPr>
        <w:t>FERNANDO PADULA NOVAES, Secretário Municipal de Educação</w:t>
      </w:r>
    </w:p>
    <w:p w14:paraId="7FC9F657" w14:textId="77777777" w:rsidR="00531631" w:rsidRPr="003F34E4" w:rsidRDefault="00531631" w:rsidP="005316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34E4">
        <w:rPr>
          <w:rFonts w:ascii="Arial" w:hAnsi="Arial" w:cs="Arial"/>
          <w:sz w:val="18"/>
          <w:szCs w:val="18"/>
        </w:rPr>
        <w:t>JOSÉ RICARDO ALVARENGA TRIPOLI, Secretário Municipal da Casa Civil</w:t>
      </w:r>
    </w:p>
    <w:p w14:paraId="01FC6F01" w14:textId="77777777" w:rsidR="00531631" w:rsidRPr="003F34E4" w:rsidRDefault="00531631" w:rsidP="005316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34E4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4C3B3588" w14:textId="77777777" w:rsidR="00531631" w:rsidRPr="003F34E4" w:rsidRDefault="00531631" w:rsidP="005316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34E4">
        <w:rPr>
          <w:rFonts w:ascii="Arial" w:hAnsi="Arial" w:cs="Arial"/>
          <w:sz w:val="18"/>
          <w:szCs w:val="18"/>
        </w:rPr>
        <w:t>RUBENS NAMAN RIZEK JUNIOR, Secretário de Governo Municipal</w:t>
      </w:r>
    </w:p>
    <w:p w14:paraId="168176C8" w14:textId="77777777" w:rsidR="00531631" w:rsidRPr="003F34E4" w:rsidRDefault="00531631" w:rsidP="005316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34E4">
        <w:rPr>
          <w:rFonts w:ascii="Arial" w:hAnsi="Arial" w:cs="Arial"/>
          <w:sz w:val="18"/>
          <w:szCs w:val="18"/>
        </w:rPr>
        <w:t>Publicado na Secretaria de Governo Municipal, em 28 de dezembro de 2021.</w:t>
      </w:r>
    </w:p>
    <w:p w14:paraId="7FB68F00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1998E39F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771C6FA" wp14:editId="197BAF64">
            <wp:extent cx="6400800" cy="7032688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51" cy="704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0FE8A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3911BB51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2E16CD3" wp14:editId="7CCDFECD">
            <wp:extent cx="6323682" cy="2302644"/>
            <wp:effectExtent l="0" t="0" r="1270" b="254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542" cy="230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DB54" w14:textId="77777777" w:rsidR="00531631" w:rsidRDefault="00531631" w:rsidP="00531631">
      <w:pPr>
        <w:spacing w:after="0" w:line="240" w:lineRule="auto"/>
        <w:jc w:val="both"/>
        <w:rPr>
          <w:rFonts w:ascii="Arial" w:hAnsi="Arial" w:cs="Arial"/>
        </w:rPr>
      </w:pPr>
    </w:p>
    <w:p w14:paraId="5C4DB3D5" w14:textId="77777777" w:rsidR="00531631" w:rsidRPr="00531631" w:rsidRDefault="00531631" w:rsidP="00531631">
      <w:pPr>
        <w:spacing w:after="0"/>
        <w:jc w:val="both"/>
        <w:rPr>
          <w:rFonts w:ascii="Arial" w:hAnsi="Arial" w:cs="Arial"/>
        </w:rPr>
      </w:pPr>
    </w:p>
    <w:sectPr w:rsidR="00531631" w:rsidRPr="00531631" w:rsidSect="005316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31"/>
    <w:rsid w:val="005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BFB"/>
  <w15:chartTrackingRefBased/>
  <w15:docId w15:val="{4D61758E-D94D-4491-BE0B-0970FAD9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1245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2021-12-29T12:05:00Z</dcterms:created>
  <dcterms:modified xsi:type="dcterms:W3CDTF">2021-12-29T12:07:00Z</dcterms:modified>
</cp:coreProperties>
</file>