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6A25" w14:textId="77777777" w:rsidR="00EC5D29" w:rsidRDefault="00D62D58" w:rsidP="00EC5D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28/12/2021 - </w:t>
      </w:r>
      <w:r w:rsidR="00EC5D29">
        <w:rPr>
          <w:rFonts w:ascii="Arial" w:hAnsi="Arial" w:cs="Arial"/>
        </w:rPr>
        <w:t>p. 05</w:t>
      </w:r>
    </w:p>
    <w:p w14:paraId="3C17C75D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747FDEB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08AA">
        <w:rPr>
          <w:rFonts w:ascii="Arial" w:hAnsi="Arial" w:cs="Arial"/>
          <w:b/>
          <w:bCs/>
        </w:rPr>
        <w:t>DECRETO Nº 60.946, DE 27 DE DEZEMBRO DE 2021</w:t>
      </w:r>
    </w:p>
    <w:p w14:paraId="1FE516FC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32AF89B4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E08AA">
        <w:rPr>
          <w:rFonts w:ascii="Arial" w:hAnsi="Arial" w:cs="Arial"/>
          <w:b/>
          <w:bCs/>
          <w:i/>
          <w:iCs/>
        </w:rPr>
        <w:t>Regulamenta a concessão da Bonificação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E08AA">
        <w:rPr>
          <w:rFonts w:ascii="Arial" w:hAnsi="Arial" w:cs="Arial"/>
          <w:b/>
          <w:bCs/>
          <w:i/>
          <w:iCs/>
        </w:rPr>
        <w:t>por Resultados - BR, instituída pela Lei nº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E08AA">
        <w:rPr>
          <w:rFonts w:ascii="Arial" w:hAnsi="Arial" w:cs="Arial"/>
          <w:b/>
          <w:bCs/>
          <w:i/>
          <w:iCs/>
        </w:rPr>
        <w:t>17.224, de 31 de outubro de 2019, aos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E08AA">
        <w:rPr>
          <w:rFonts w:ascii="Arial" w:hAnsi="Arial" w:cs="Arial"/>
          <w:b/>
          <w:bCs/>
          <w:i/>
          <w:iCs/>
        </w:rPr>
        <w:t>agentes públicos municipais, na forma 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AE08AA">
        <w:rPr>
          <w:rFonts w:ascii="Arial" w:hAnsi="Arial" w:cs="Arial"/>
          <w:b/>
          <w:bCs/>
          <w:i/>
          <w:iCs/>
        </w:rPr>
        <w:t>condições que especifica.</w:t>
      </w:r>
    </w:p>
    <w:p w14:paraId="13429529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C610668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uso de suas atribuições legais e à vista do disposto no Capítulo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I da Lei nº 17.224, de 31 de outubro de 2019,</w:t>
      </w:r>
    </w:p>
    <w:p w14:paraId="313FACAF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2D07470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D E C R E T A:</w:t>
      </w:r>
    </w:p>
    <w:p w14:paraId="420FD5BD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487809C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1º Os procedimentos administrativos para o cálculo 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concessão da Bonificação por Resultados – BR, instituída pela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Lei nº 17.224, de 31 de outubro de 2019, aos agentes públicos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em exercício nos órgãos e unidades da administração direta,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nas autarquias e nas fundações do Município de São Paulo,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ficam regulamentados de acordo com as disposições deste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decreto.</w:t>
      </w:r>
    </w:p>
    <w:p w14:paraId="0D5DCF6B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62EB015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2º Fica instituída a Comissão de Gestão da Bonificação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por Resultados, de que trata o artigo 5º da Lei nº 17.224,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 xml:space="preserve">2019, órgão colegiado </w:t>
      </w:r>
      <w:proofErr w:type="spellStart"/>
      <w:r w:rsidRPr="00C936D5">
        <w:rPr>
          <w:rFonts w:ascii="Arial" w:hAnsi="Arial" w:cs="Arial"/>
        </w:rPr>
        <w:t>intersecretarial</w:t>
      </w:r>
      <w:proofErr w:type="spellEnd"/>
      <w:r w:rsidRPr="00C936D5">
        <w:rPr>
          <w:rFonts w:ascii="Arial" w:hAnsi="Arial" w:cs="Arial"/>
        </w:rPr>
        <w:t>, de natureza deliberativa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 consultiva, com as seguintes atribuições:</w:t>
      </w:r>
    </w:p>
    <w:p w14:paraId="6C9EDBF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 - </w:t>
      </w:r>
      <w:proofErr w:type="gramStart"/>
      <w:r w:rsidRPr="00C936D5">
        <w:rPr>
          <w:rFonts w:ascii="Arial" w:hAnsi="Arial" w:cs="Arial"/>
        </w:rPr>
        <w:t>fixar</w:t>
      </w:r>
      <w:proofErr w:type="gramEnd"/>
      <w:r w:rsidRPr="00C936D5">
        <w:rPr>
          <w:rFonts w:ascii="Arial" w:hAnsi="Arial" w:cs="Arial"/>
        </w:rPr>
        <w:t xml:space="preserve"> os critérios de apuração e a avaliação dos indicadores globais e das respectivas metas referidas no Programa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Metas previsto no artigo 69-A da Lei Orgânica do Município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São Paulo, para fins de pagamento da Bonificação por Resultados – BR;</w:t>
      </w:r>
    </w:p>
    <w:p w14:paraId="2569748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II - </w:t>
      </w:r>
      <w:proofErr w:type="gramStart"/>
      <w:r w:rsidRPr="00C936D5">
        <w:rPr>
          <w:rFonts w:ascii="Arial" w:hAnsi="Arial" w:cs="Arial"/>
        </w:rPr>
        <w:t>definir</w:t>
      </w:r>
      <w:proofErr w:type="gramEnd"/>
      <w:r w:rsidRPr="00C936D5">
        <w:rPr>
          <w:rFonts w:ascii="Arial" w:hAnsi="Arial" w:cs="Arial"/>
        </w:rPr>
        <w:t xml:space="preserve"> anualmente o montante global anual, observada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 disponibilidade orçamentária, a ser alocado para o pagamento da Bonificação por Resultados – BR;</w:t>
      </w:r>
    </w:p>
    <w:p w14:paraId="59A7A113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III – divulgar o limitador orçamentário que incidirá sobre 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resultado da aplicação dos percentuais estabelecidos no “caput” e no § 3º do artigo 8º deste decreto, para fins de cumprimento do disposto no § 1º do artigo 8º da Lei 17.224, de 2019;</w:t>
      </w:r>
    </w:p>
    <w:p w14:paraId="0EDB4DCA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IV – </w:t>
      </w:r>
      <w:proofErr w:type="gramStart"/>
      <w:r w:rsidRPr="00C936D5">
        <w:rPr>
          <w:rFonts w:ascii="Arial" w:hAnsi="Arial" w:cs="Arial"/>
        </w:rPr>
        <w:t>aprovar</w:t>
      </w:r>
      <w:proofErr w:type="gramEnd"/>
      <w:r w:rsidRPr="00C936D5">
        <w:rPr>
          <w:rFonts w:ascii="Arial" w:hAnsi="Arial" w:cs="Arial"/>
        </w:rPr>
        <w:t xml:space="preserve"> os projetos e atividades específicas, seus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indicadores específicos, critérios de apuração e avaliação, e sua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distribuição para cada unidade administrativa, fixados pelos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titulares dos órgãos da administração direta e os dirigentes das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autarquias e fundações do Município de São Paulo, para fins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pagamento da Bonificação por Resultados – BR.</w:t>
      </w:r>
    </w:p>
    <w:p w14:paraId="0E4409D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Parágrafo único. A Comissão de Gestão da Bonificação por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Resultados, a seu critério, nos termos do § 5º do artigo 6º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Lei nº 17.224, de 2019, poderá avocar a definição dos projetos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 atividades específicas, seus indicadores específicos, critérios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apuração e avaliação, e sua distribuição para cada unidade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administrativa vinculada a determinado órgão da administração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direta, autarquia ou fundação do Município de São Paulo.</w:t>
      </w:r>
    </w:p>
    <w:p w14:paraId="633A2D35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49E53B9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3º A Comissão de Gestão da Bonificação por Resultados será composta por:</w:t>
      </w:r>
    </w:p>
    <w:p w14:paraId="7A2D15C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 – 1 (um) representante, titular e suplente, da Secretaria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Executiva de Gestão;</w:t>
      </w:r>
    </w:p>
    <w:p w14:paraId="2EA97D63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II – 1 (um) representante, titular e suplente, da Secretaria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Executiva de Planejamento e Entregas Prioritárias;</w:t>
      </w:r>
    </w:p>
    <w:p w14:paraId="373C0FD0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III – 1 (um) representante, titular e suplente, da Secretaria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Municipal da Fazenda;</w:t>
      </w:r>
      <w:r>
        <w:rPr>
          <w:rFonts w:ascii="Arial" w:hAnsi="Arial" w:cs="Arial"/>
        </w:rPr>
        <w:t xml:space="preserve"> </w:t>
      </w:r>
    </w:p>
    <w:p w14:paraId="16377808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IV – 1 (um) representante, titular e suplente, do Gabinete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Secretaria de Governo Municipal.</w:t>
      </w:r>
    </w:p>
    <w:p w14:paraId="690479BC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1º Cada órgão ou unidade referidos nos incisos do "caput" deste artigo indicará seus representantes, titular e suplente.</w:t>
      </w:r>
    </w:p>
    <w:p w14:paraId="6BBF0F4A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2º A Coordenação da Comissão de Gestão da Bonificação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por Resultados caberá ao representante da Secretaria Executiva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Gestão.</w:t>
      </w:r>
    </w:p>
    <w:p w14:paraId="1BBA7C9A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3º Os membros da Comissão de Gestão da Bonificação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por Resultados serão designados por portaria da Secretaria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Governo Municipal.</w:t>
      </w:r>
    </w:p>
    <w:p w14:paraId="5C4AD704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3E27A1B3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4º A Secretaria Executiva da Comissão de Gestão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Bonificação por Resultados será exercida pelo gabinete da Secretaria Executiva de Gestão, cabendo-lhe, ainda, o correspondente apoio administrativo e operacional, em especial:</w:t>
      </w:r>
    </w:p>
    <w:p w14:paraId="1173236D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lastRenderedPageBreak/>
        <w:t xml:space="preserve">I - </w:t>
      </w:r>
      <w:proofErr w:type="gramStart"/>
      <w:r w:rsidRPr="00C936D5">
        <w:rPr>
          <w:rFonts w:ascii="Arial" w:hAnsi="Arial" w:cs="Arial"/>
        </w:rPr>
        <w:t>preparar</w:t>
      </w:r>
      <w:proofErr w:type="gramEnd"/>
      <w:r w:rsidRPr="00C936D5">
        <w:rPr>
          <w:rFonts w:ascii="Arial" w:hAnsi="Arial" w:cs="Arial"/>
        </w:rPr>
        <w:t xml:space="preserve"> a pauta dos trabalhos de cada reunião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Comissão;</w:t>
      </w:r>
    </w:p>
    <w:p w14:paraId="0922C67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II - </w:t>
      </w:r>
      <w:proofErr w:type="gramStart"/>
      <w:r w:rsidRPr="00C936D5">
        <w:rPr>
          <w:rFonts w:ascii="Arial" w:hAnsi="Arial" w:cs="Arial"/>
        </w:rPr>
        <w:t>elaborar</w:t>
      </w:r>
      <w:proofErr w:type="gramEnd"/>
      <w:r w:rsidRPr="00C936D5">
        <w:rPr>
          <w:rFonts w:ascii="Arial" w:hAnsi="Arial" w:cs="Arial"/>
        </w:rPr>
        <w:t xml:space="preserve"> as atas das reuniões;</w:t>
      </w:r>
    </w:p>
    <w:p w14:paraId="1623BF96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III - registrar a entrada e movimentação dos expedientes;</w:t>
      </w:r>
    </w:p>
    <w:p w14:paraId="74798B7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IV - </w:t>
      </w:r>
      <w:proofErr w:type="gramStart"/>
      <w:r w:rsidRPr="00C936D5">
        <w:rPr>
          <w:rFonts w:ascii="Arial" w:hAnsi="Arial" w:cs="Arial"/>
        </w:rPr>
        <w:t>codificar e arquivar</w:t>
      </w:r>
      <w:proofErr w:type="gramEnd"/>
      <w:r w:rsidRPr="00C936D5">
        <w:rPr>
          <w:rFonts w:ascii="Arial" w:hAnsi="Arial" w:cs="Arial"/>
        </w:rPr>
        <w:t>, para consulta, os assuntos tratados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nas reuniões;</w:t>
      </w:r>
    </w:p>
    <w:p w14:paraId="75E9753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V - </w:t>
      </w:r>
      <w:proofErr w:type="gramStart"/>
      <w:r w:rsidRPr="00C936D5">
        <w:rPr>
          <w:rFonts w:ascii="Arial" w:hAnsi="Arial" w:cs="Arial"/>
        </w:rPr>
        <w:t>promover</w:t>
      </w:r>
      <w:proofErr w:type="gramEnd"/>
      <w:r w:rsidRPr="00C936D5">
        <w:rPr>
          <w:rFonts w:ascii="Arial" w:hAnsi="Arial" w:cs="Arial"/>
        </w:rPr>
        <w:t xml:space="preserve"> o controle dos prazos;</w:t>
      </w:r>
    </w:p>
    <w:p w14:paraId="184245A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VI - </w:t>
      </w:r>
      <w:proofErr w:type="gramStart"/>
      <w:r w:rsidRPr="00C936D5">
        <w:rPr>
          <w:rFonts w:ascii="Arial" w:hAnsi="Arial" w:cs="Arial"/>
        </w:rPr>
        <w:t>proceder</w:t>
      </w:r>
      <w:proofErr w:type="gramEnd"/>
      <w:r w:rsidRPr="00C936D5">
        <w:rPr>
          <w:rFonts w:ascii="Arial" w:hAnsi="Arial" w:cs="Arial"/>
        </w:rPr>
        <w:t xml:space="preserve"> à publicação das deliberações da Comissão;</w:t>
      </w:r>
    </w:p>
    <w:p w14:paraId="4176D196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VII - atender outras determinações da Comissão.</w:t>
      </w:r>
    </w:p>
    <w:p w14:paraId="065350FF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4556F086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5º O período de avaliação das metas a que se referem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o inciso I do artigo 2º deste decreto corresponderá ao ano civil.</w:t>
      </w:r>
    </w:p>
    <w:p w14:paraId="33560CC3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Parágrafo único. Excepcionalmente, no ano de apresentação do Programa de Metas previsto no art. 69-A da Lei Orgânica do Município de São Paulo, o período de avaliação poderá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ser inferior a 1 (um) ano, nos termos definidos pela Comissão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Gestão da Bonificação por Resultados.</w:t>
      </w:r>
    </w:p>
    <w:p w14:paraId="073464A4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0005AC3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6º Até 31 de março de cada ano, deverão ser informados à Comissão de Gestão da Bonificação por Resultados,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para fins de cálculo e pagamento da Bonificação por Resultados - BR:</w:t>
      </w:r>
    </w:p>
    <w:p w14:paraId="74AC7C2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 - </w:t>
      </w:r>
      <w:proofErr w:type="gramStart"/>
      <w:r w:rsidRPr="00C936D5">
        <w:rPr>
          <w:rFonts w:ascii="Arial" w:hAnsi="Arial" w:cs="Arial"/>
        </w:rPr>
        <w:t>pela</w:t>
      </w:r>
      <w:proofErr w:type="gramEnd"/>
      <w:r w:rsidRPr="00C936D5">
        <w:rPr>
          <w:rFonts w:ascii="Arial" w:hAnsi="Arial" w:cs="Arial"/>
        </w:rPr>
        <w:t xml:space="preserve"> Secretaria Executiva de Planejamento e Entregas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Prioritárias, os resultados alcançados por cada órgão no cumprimento do Programa de Metas previsto no artigo 69-A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Orgânica do Município de São Paulo, tendo por base o período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avaliação que se encerrou;</w:t>
      </w:r>
    </w:p>
    <w:p w14:paraId="182359D5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II - </w:t>
      </w:r>
      <w:proofErr w:type="gramStart"/>
      <w:r w:rsidRPr="00C936D5">
        <w:rPr>
          <w:rFonts w:ascii="Arial" w:hAnsi="Arial" w:cs="Arial"/>
        </w:rPr>
        <w:t>por</w:t>
      </w:r>
      <w:proofErr w:type="gramEnd"/>
      <w:r w:rsidRPr="00C936D5">
        <w:rPr>
          <w:rFonts w:ascii="Arial" w:hAnsi="Arial" w:cs="Arial"/>
        </w:rPr>
        <w:t xml:space="preserve"> cada órgão ou ente, os resultados alcançados na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avaliação de resultados de projetos ou atividades específicas,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tendo por base o período de avaliação que se encerrou.</w:t>
      </w:r>
    </w:p>
    <w:p w14:paraId="1F39FF3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1º Os resultados relativos ao período de avaliação, a que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 refere § único do artigo 5º deste decreto, serão encaminhados à Comissão de Gestão da Bonificação por Resultados, em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até 30 (trinta) dias do término daquele período de avaliação.</w:t>
      </w:r>
    </w:p>
    <w:p w14:paraId="0F01D69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2º As informações serão consolidadas em planilhas-resumo, definidas pela Comissão de Gestão da Bonificação por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Resultados, e encaminhadas via processo eletrônico.</w:t>
      </w:r>
    </w:p>
    <w:p w14:paraId="5491923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3º Os processos, expedientes ou documentos que comprovem os resultados atestados deverão ser preservados pelos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órgãos da administração direta, autarquias e fundações por, no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mínimo, 5 (cinco) anos, caso outro prazo maior não seja definido nas tabelas de temporalidade vigentes.</w:t>
      </w:r>
    </w:p>
    <w:p w14:paraId="6FA2B5B2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50216194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7º Caberá à Comissão de Gestão da Bonificação por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Resultados, à vista das informações prestadas pela Secretaria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Executiva de Planejamento e Entregas Prioritárias, pelos órgãos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 entes, bem como das regras legais e regulamentares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regência, fixar o índice agregado de cumprimento de metas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cada órgão ou ente para fins de pagamento da Bonificação por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Resultados – BR, relativa ao período de avaliação que se encerrou, até 30 de abril de cada ano.</w:t>
      </w:r>
    </w:p>
    <w:p w14:paraId="2BA9449B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Parágrafo único. Na hipótese do § único do artigo 5º deste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decreto, o índice de cada órgão ou ente para fins de pagamento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Bonificação por Resultados - BR deverá ser fixado em até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45 (quarenta e cinco) dias do término daquele período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avaliação.</w:t>
      </w:r>
    </w:p>
    <w:p w14:paraId="17B9BFFC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4C06D993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8º O valor da Bonificação por Resultados – BR, observados os limites estabelecidos na Lei nº 17.224, de 2019,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será calculado sobre 20% (vinte por cento) do somatório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retribuição mensal do agente público no período de avaliação,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multiplicado pelo:</w:t>
      </w:r>
    </w:p>
    <w:p w14:paraId="3DD5AAA1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 - índice agregado de cumprimento de metas obtido pelo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órgão da administração direta, autarquia ou fundação;</w:t>
      </w:r>
    </w:p>
    <w:p w14:paraId="48FFAE3E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II - índice de dias de efetivo exercício.</w:t>
      </w:r>
    </w:p>
    <w:p w14:paraId="13CC4C81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1º Para fins do disposto no inciso I do “caput” deste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artigo, aplica-se aos órgãos da administração direta, autarquias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 fundações que não sejam responsáveis pelo cumprimento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metas referidas no Programa de Metas, de que trata o artigo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69-A da Lei Orgânica do Município de São Paulo, ou avaliação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resultados de projetos ou atividades específicas, a média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dos índices agregados de cumprimento das metas, conforme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critérios a serem estabelecidos pela Comissão de Gestão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Bonificação por Resultados.</w:t>
      </w:r>
    </w:p>
    <w:p w14:paraId="1F9FAB6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2º Consideram-se de efetivo exercício, para os fins 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disposto no inciso II do “caput” deste artigo, os dias do período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avaliação em que o agente público tenha exercido regularmente suas funções, desconsiderada toda e qualquer ausência,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à exceção das que se verificarem em virtude de férias, licença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 xml:space="preserve">à gestante, </w:t>
      </w:r>
      <w:proofErr w:type="spellStart"/>
      <w:r w:rsidRPr="00C936D5">
        <w:rPr>
          <w:rFonts w:ascii="Arial" w:hAnsi="Arial" w:cs="Arial"/>
        </w:rPr>
        <w:t>licença-paternidade</w:t>
      </w:r>
      <w:proofErr w:type="spellEnd"/>
      <w:r w:rsidRPr="00C936D5">
        <w:rPr>
          <w:rFonts w:ascii="Arial" w:hAnsi="Arial" w:cs="Arial"/>
        </w:rPr>
        <w:t>, licença por adoção ou guarda,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 xml:space="preserve">licença-nojo, licença-gala, </w:t>
      </w:r>
      <w:r w:rsidRPr="00C936D5">
        <w:rPr>
          <w:rFonts w:ascii="Arial" w:hAnsi="Arial" w:cs="Arial"/>
        </w:rPr>
        <w:lastRenderedPageBreak/>
        <w:t>licença compulsória, licença por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acidente de trabalho ou doença profissional e convocação para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cumprimento de serviços obrigatórios por lei.</w:t>
      </w:r>
    </w:p>
    <w:p w14:paraId="4B7EA31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3º Os agentes públicos lotados em órgão da administração direta, autarquia ou fundação do Município de São Paulo,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cujo índice de cumprimento, em período de avaliação igual ou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superior a 1 (um) ano, suplantar as metas globais definidas,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poderão receber um adicional de até 20% (vinte por cento) 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valor da Bonificação por Resultados – BR, na forma estabelecida em portaria a ser editada pela Comissão de Gestão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Bonificação por Resultados.</w:t>
      </w:r>
    </w:p>
    <w:p w14:paraId="5444B1E7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4º A Bonificação por Resultados – BR será limitada ao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montante global anual destinado ao seu pagamento, devendo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os percentuais estabelecidos no “caput” e no § 3º deste artigo,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 for o caso, serem proporcionalmente ajustados de forma 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adequá-los a esse montante.</w:t>
      </w:r>
    </w:p>
    <w:p w14:paraId="6A69DC5B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A378F68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9º A Bonificação por Resultados - BR será paga, observadas as condições e vedações previstas na Lei nº 17.224,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2019, em parcela única:</w:t>
      </w:r>
    </w:p>
    <w:p w14:paraId="40858EC1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 – </w:t>
      </w:r>
      <w:proofErr w:type="gramStart"/>
      <w:r w:rsidRPr="00C936D5">
        <w:rPr>
          <w:rFonts w:ascii="Arial" w:hAnsi="Arial" w:cs="Arial"/>
        </w:rPr>
        <w:t>no</w:t>
      </w:r>
      <w:proofErr w:type="gramEnd"/>
      <w:r w:rsidRPr="00C936D5">
        <w:rPr>
          <w:rFonts w:ascii="Arial" w:hAnsi="Arial" w:cs="Arial"/>
        </w:rPr>
        <w:t xml:space="preserve"> mês de junho do ano seguinte ao do término 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período de avaliação, quando este for anual;</w:t>
      </w:r>
    </w:p>
    <w:p w14:paraId="5EC2534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II - </w:t>
      </w:r>
      <w:proofErr w:type="gramStart"/>
      <w:r w:rsidRPr="00C936D5">
        <w:rPr>
          <w:rFonts w:ascii="Arial" w:hAnsi="Arial" w:cs="Arial"/>
        </w:rPr>
        <w:t>até</w:t>
      </w:r>
      <w:proofErr w:type="gramEnd"/>
      <w:r w:rsidRPr="00C936D5">
        <w:rPr>
          <w:rFonts w:ascii="Arial" w:hAnsi="Arial" w:cs="Arial"/>
        </w:rPr>
        <w:t xml:space="preserve"> o 3º (terceiro) mês seguinte ao do término do período de avaliação, quando este for inferior a 1 (um) ano.</w:t>
      </w:r>
    </w:p>
    <w:p w14:paraId="60010050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1º O pagamento dos agentes públicos ativos será processado pelo Departamento de Recursos Humanos, da Coordenadoria de Gestão de Pessoas, da Secretaria Executiva de Gestão,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Secretaria de Governo Municipal, observados os índices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cumprimento e o limitador orçamentário, respectivamente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fixados e divulgados pela Comissão de Gestão da Bonificação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por Resultados, bem como o índice de dias de efetivo exercício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 cada agente público.</w:t>
      </w:r>
    </w:p>
    <w:p w14:paraId="2175E823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§ 2º Os agentes públicos que implementaram o direito ao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recebimento da Bonificação por Resultados, nos termos da Lei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nº 17.224, de 2019, e venham a ser exonerados ou aposentados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em data anterior ao seu pagamento, deverão requerê-lo nos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termos das orientações constantes de manual a ser editado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pelo Departamento de Recursos Humanos, da Coordenadoria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Gestão de Pessoas, da Secretaria Executiva de Gestão,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Secretaria de Governo Municipal.</w:t>
      </w:r>
    </w:p>
    <w:p w14:paraId="43574FD8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079EF61A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10. Contra os índices fixados pela Comissão de Gestão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Bonificação por Resultados caberá pedido de reconsideração, no prazo de até 15 (quinze) dias, contados da publicação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resolução no Diário Oficial da Cidade, dirigido à Comissão,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pelo titular do órgão da administração direta ou dirigente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autarquia ou fundação, relativo à avaliação das respectivas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metas.</w:t>
      </w:r>
    </w:p>
    <w:p w14:paraId="7853F4B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Parágrafo único. O pedido de reconsideração deverá ser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instruído com as razões, relatórios, planilhas de cálculo e outros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documentos que comprovem as divergências do valor publicado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em relação aos pleiteados.</w:t>
      </w:r>
    </w:p>
    <w:p w14:paraId="47E13128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2527A96B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11. Contra a avaliação de resultados de projetos ou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atividades específicas, realizada pela comissão instituída em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cada órgão da administração direta, autarquia ou fundação,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na conformidade do disposto no § 2º do artigo 6º da Lei nº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17.224, de 2019, caberá um único recurso, no prazo de até 15</w:t>
      </w:r>
    </w:p>
    <w:p w14:paraId="7D9B383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(quinze) dias, contados da publicação do ato, no Diário Oficial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Cidade, dirigido ao titular do respectivo órgão ou dirigente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autarquia ou fundação.</w:t>
      </w:r>
    </w:p>
    <w:p w14:paraId="46C7DD8F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C8B997A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12. O agente público poderá, no prazo de 15 (quinze)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dias, contados do pagamento da sua Bonificação de Resultados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- BR, impugnar o fator individual utilizado para o seu cálculo,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referido no inciso II do artigo 8 deste decreto, mediante requerimento a ser protocolado na respectiva unidade de recursos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humanos do órgão da administração direta, autarquia ou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fundação a que se encontre vinculado, incumbindo a sua apreciação ao chefe ou diretor da respectiva unidade.</w:t>
      </w:r>
    </w:p>
    <w:p w14:paraId="128BD80E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Parágrafo único. Contra a decisão do chefe ou diretor da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unidade de recursos humanos de lotação do agente público, caberá um único recurso a ser apresentado, no prazo de 15 (dias),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contados da publicação da decisão recorrida no Diário Oficial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da Cidade, à autoridade imediatamente superior.</w:t>
      </w:r>
    </w:p>
    <w:p w14:paraId="19EC58F2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1B1CF6CF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13. A Bonificação por Resultados – BR a ser paga ao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agente público não poderá:</w:t>
      </w:r>
    </w:p>
    <w:p w14:paraId="4135343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 - </w:t>
      </w:r>
      <w:proofErr w:type="gramStart"/>
      <w:r w:rsidRPr="00C936D5">
        <w:rPr>
          <w:rFonts w:ascii="Arial" w:hAnsi="Arial" w:cs="Arial"/>
        </w:rPr>
        <w:t>ser</w:t>
      </w:r>
      <w:proofErr w:type="gramEnd"/>
      <w:r w:rsidRPr="00C936D5">
        <w:rPr>
          <w:rFonts w:ascii="Arial" w:hAnsi="Arial" w:cs="Arial"/>
        </w:rPr>
        <w:t xml:space="preserve"> superior a 0,0000625 do montante global anual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fixado a cada período de avaliação;</w:t>
      </w:r>
    </w:p>
    <w:p w14:paraId="31204991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 xml:space="preserve">II - </w:t>
      </w:r>
      <w:proofErr w:type="gramStart"/>
      <w:r w:rsidRPr="00C936D5">
        <w:rPr>
          <w:rFonts w:ascii="Arial" w:hAnsi="Arial" w:cs="Arial"/>
        </w:rPr>
        <w:t>juntamente</w:t>
      </w:r>
      <w:proofErr w:type="gramEnd"/>
      <w:r w:rsidRPr="00C936D5">
        <w:rPr>
          <w:rFonts w:ascii="Arial" w:hAnsi="Arial" w:cs="Arial"/>
        </w:rPr>
        <w:t xml:space="preserve"> com as parcelas remuneratórias a que faça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jus o agente público no mês de pagamento, exceder o limite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remuneratório, fixado no inciso XI, do artigo 37, da Constituição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Federal.</w:t>
      </w:r>
    </w:p>
    <w:p w14:paraId="3EB30CA1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5F844DE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lastRenderedPageBreak/>
        <w:t>Art.14. A Controladoria Geral do Município poderá realizar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auditoria dos resultados alcançados por cada órgão no cumprimento do Programa de Metas previsto no artigo 69-A da Lei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Orgânica do Município de São Paulo, bem como na avaliação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resultados de projetos ou atividades específicas, para fins de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pagamento da Bonificação por Resultados - BR.</w:t>
      </w:r>
    </w:p>
    <w:p w14:paraId="5076E452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7C21F860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15. As despesas com a execução deste decreto correrão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por conta das dotações orçamentárias próprias, suplementadas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se necessário.</w:t>
      </w:r>
    </w:p>
    <w:p w14:paraId="3E426BDE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1530FA32" w14:textId="77777777" w:rsidR="00EC5D29" w:rsidRPr="00C936D5" w:rsidRDefault="00EC5D29" w:rsidP="00EC5D29">
      <w:pPr>
        <w:spacing w:after="0" w:line="240" w:lineRule="auto"/>
        <w:jc w:val="both"/>
        <w:rPr>
          <w:rFonts w:ascii="Arial" w:hAnsi="Arial" w:cs="Arial"/>
        </w:rPr>
      </w:pPr>
      <w:r w:rsidRPr="00C936D5">
        <w:rPr>
          <w:rFonts w:ascii="Arial" w:hAnsi="Arial" w:cs="Arial"/>
        </w:rPr>
        <w:t>Art. 16. Este decreto entrará em vigor na data de sua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publicação, revogado o Decreto nº 59.163, de 27 de dezembro</w:t>
      </w:r>
      <w:r>
        <w:rPr>
          <w:rFonts w:ascii="Arial" w:hAnsi="Arial" w:cs="Arial"/>
        </w:rPr>
        <w:t xml:space="preserve"> </w:t>
      </w:r>
      <w:r w:rsidRPr="00C936D5">
        <w:rPr>
          <w:rFonts w:ascii="Arial" w:hAnsi="Arial" w:cs="Arial"/>
        </w:rPr>
        <w:t>de 2019.</w:t>
      </w:r>
    </w:p>
    <w:p w14:paraId="12FAFBC7" w14:textId="77777777" w:rsidR="00EC5D29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99A9D4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PREFEITURA DO MUNICÍPIO DE SÃO PAULO, em 27 de</w:t>
      </w:r>
      <w:r>
        <w:rPr>
          <w:rFonts w:ascii="Arial" w:hAnsi="Arial" w:cs="Arial"/>
          <w:sz w:val="18"/>
          <w:szCs w:val="18"/>
        </w:rPr>
        <w:t xml:space="preserve"> </w:t>
      </w:r>
      <w:r w:rsidRPr="00AE08AA">
        <w:rPr>
          <w:rFonts w:ascii="Arial" w:hAnsi="Arial" w:cs="Arial"/>
          <w:sz w:val="18"/>
          <w:szCs w:val="18"/>
        </w:rPr>
        <w:t>dezembro de 2021, 468º da Fundação de São Paulo.</w:t>
      </w:r>
    </w:p>
    <w:p w14:paraId="3F150E1F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RICARDO NUNES, PREFEITO</w:t>
      </w:r>
    </w:p>
    <w:p w14:paraId="25CB8884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GUILHERME BUENO DE CAMARGO,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AE08AA">
        <w:rPr>
          <w:rFonts w:ascii="Arial" w:hAnsi="Arial" w:cs="Arial"/>
          <w:sz w:val="18"/>
          <w:szCs w:val="18"/>
        </w:rPr>
        <w:t>da Fazenda</w:t>
      </w:r>
    </w:p>
    <w:p w14:paraId="0C40EDD9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JOSÉ RICARDO ALVARENGA TRIPOLI, Secretário Municipal</w:t>
      </w:r>
      <w:r>
        <w:rPr>
          <w:rFonts w:ascii="Arial" w:hAnsi="Arial" w:cs="Arial"/>
          <w:sz w:val="18"/>
          <w:szCs w:val="18"/>
        </w:rPr>
        <w:t xml:space="preserve"> </w:t>
      </w:r>
      <w:r w:rsidRPr="00AE08AA">
        <w:rPr>
          <w:rFonts w:ascii="Arial" w:hAnsi="Arial" w:cs="Arial"/>
          <w:sz w:val="18"/>
          <w:szCs w:val="18"/>
        </w:rPr>
        <w:t>da Casa Civil</w:t>
      </w:r>
    </w:p>
    <w:p w14:paraId="31F152A8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11FCD30C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RUBENS NAMAN RIZEK JUNIOR, Secretário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AE08AA">
        <w:rPr>
          <w:rFonts w:ascii="Arial" w:hAnsi="Arial" w:cs="Arial"/>
          <w:sz w:val="18"/>
          <w:szCs w:val="18"/>
        </w:rPr>
        <w:t>Municipal</w:t>
      </w:r>
    </w:p>
    <w:p w14:paraId="2B3928EF" w14:textId="77777777" w:rsidR="00EC5D29" w:rsidRPr="00AE08AA" w:rsidRDefault="00EC5D29" w:rsidP="00EC5D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08AA">
        <w:rPr>
          <w:rFonts w:ascii="Arial" w:hAnsi="Arial" w:cs="Arial"/>
          <w:sz w:val="18"/>
          <w:szCs w:val="18"/>
        </w:rPr>
        <w:t>Publicado na Secretaria de Governo Municipal, em 27 de</w:t>
      </w:r>
      <w:r>
        <w:rPr>
          <w:rFonts w:ascii="Arial" w:hAnsi="Arial" w:cs="Arial"/>
          <w:sz w:val="18"/>
          <w:szCs w:val="18"/>
        </w:rPr>
        <w:t xml:space="preserve"> </w:t>
      </w:r>
      <w:r w:rsidRPr="00AE08AA">
        <w:rPr>
          <w:rFonts w:ascii="Arial" w:hAnsi="Arial" w:cs="Arial"/>
          <w:sz w:val="18"/>
          <w:szCs w:val="18"/>
        </w:rPr>
        <w:t>dezembro de 2021.</w:t>
      </w:r>
    </w:p>
    <w:p w14:paraId="7B385E5F" w14:textId="4AE42DCB" w:rsidR="00EC5D29" w:rsidRDefault="00EC5D29" w:rsidP="00EC5D29">
      <w:pPr>
        <w:spacing w:after="0" w:line="240" w:lineRule="auto"/>
        <w:jc w:val="both"/>
        <w:rPr>
          <w:rFonts w:ascii="Arial" w:hAnsi="Arial" w:cs="Arial"/>
        </w:rPr>
      </w:pPr>
    </w:p>
    <w:p w14:paraId="575E75B0" w14:textId="3C895DFE" w:rsidR="00766C1C" w:rsidRDefault="00766C1C" w:rsidP="00EC5D29">
      <w:pPr>
        <w:spacing w:after="0" w:line="240" w:lineRule="auto"/>
        <w:jc w:val="both"/>
        <w:rPr>
          <w:rFonts w:ascii="Arial" w:hAnsi="Arial" w:cs="Arial"/>
        </w:rPr>
      </w:pPr>
    </w:p>
    <w:p w14:paraId="47BA4995" w14:textId="77777777" w:rsidR="00766C1C" w:rsidRDefault="00766C1C" w:rsidP="00D62D58">
      <w:pPr>
        <w:spacing w:after="0" w:line="240" w:lineRule="auto"/>
        <w:jc w:val="both"/>
        <w:rPr>
          <w:rFonts w:ascii="Arial" w:hAnsi="Arial" w:cs="Arial"/>
        </w:rPr>
      </w:pPr>
    </w:p>
    <w:p w14:paraId="584E370E" w14:textId="77777777" w:rsidR="00D62D58" w:rsidRDefault="00D62D58" w:rsidP="00D62D58">
      <w:pPr>
        <w:spacing w:after="0"/>
      </w:pPr>
    </w:p>
    <w:sectPr w:rsidR="00D62D58" w:rsidSect="00D62D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58"/>
    <w:rsid w:val="00766C1C"/>
    <w:rsid w:val="00D62D58"/>
    <w:rsid w:val="00E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2F7"/>
  <w15:chartTrackingRefBased/>
  <w15:docId w15:val="{3AD78DD4-FBFC-467A-8C31-F6D07FE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D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2027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2021-12-28T17:39:00Z</cp:lastPrinted>
  <dcterms:created xsi:type="dcterms:W3CDTF">2021-12-28T17:42:00Z</dcterms:created>
  <dcterms:modified xsi:type="dcterms:W3CDTF">2021-12-28T17:42:00Z</dcterms:modified>
</cp:coreProperties>
</file>